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E94" w:rsidRPr="00647B05" w:rsidRDefault="002E073F" w:rsidP="002E073F">
      <w:pPr>
        <w:jc w:val="center"/>
        <w:rPr>
          <w:b/>
        </w:rPr>
      </w:pPr>
      <w:bookmarkStart w:id="0" w:name="_GoBack"/>
      <w:r>
        <w:rPr>
          <w:b/>
        </w:rPr>
        <w:t>TERMO DE REFERENCIA</w:t>
      </w:r>
    </w:p>
    <w:p w:rsidR="000E7E94" w:rsidRDefault="000E7E94" w:rsidP="00393668">
      <w:pPr>
        <w:jc w:val="both"/>
      </w:pPr>
      <w:r>
        <w:br/>
      </w:r>
      <w:r w:rsidRPr="00FA4613">
        <w:rPr>
          <w:b/>
        </w:rPr>
        <w:t>1</w:t>
      </w:r>
      <w:r w:rsidRPr="00DE63B5">
        <w:t xml:space="preserve"> – </w:t>
      </w:r>
      <w:r w:rsidRPr="00FA4613">
        <w:rPr>
          <w:b/>
        </w:rPr>
        <w:t>OBJETO</w:t>
      </w:r>
    </w:p>
    <w:p w:rsidR="00FA4613" w:rsidRPr="00DE63B5" w:rsidRDefault="00FA4613" w:rsidP="00393668">
      <w:pPr>
        <w:jc w:val="both"/>
      </w:pPr>
    </w:p>
    <w:p w:rsidR="002E073F" w:rsidRDefault="002E073F" w:rsidP="004C2F8C">
      <w:pPr>
        <w:jc w:val="both"/>
        <w:rPr>
          <w:i/>
          <w:iCs/>
        </w:rPr>
      </w:pPr>
      <w:r w:rsidRPr="002E073F">
        <w:rPr>
          <w:i/>
          <w:iCs/>
        </w:rPr>
        <w:t>Contratação de empresa para Gerenciar e Operar a transmissão do Evento: "Imposto de Rende 24h - 1ª Jornada Contábil do CRCGO: Imersão no Imposto de Renda 2023"</w:t>
      </w:r>
    </w:p>
    <w:p w:rsidR="002E073F" w:rsidRDefault="002E073F" w:rsidP="004C2F8C">
      <w:pPr>
        <w:jc w:val="both"/>
        <w:rPr>
          <w:i/>
          <w:iCs/>
        </w:rPr>
      </w:pPr>
    </w:p>
    <w:p w:rsidR="000E7E94" w:rsidRPr="00FA4613" w:rsidRDefault="00FE352D" w:rsidP="004C2F8C">
      <w:pPr>
        <w:jc w:val="both"/>
        <w:rPr>
          <w:b/>
        </w:rPr>
      </w:pPr>
      <w:r w:rsidRPr="00FE352D">
        <w:br/>
      </w:r>
      <w:r w:rsidR="000E7E94" w:rsidRPr="00FA4613">
        <w:rPr>
          <w:b/>
        </w:rPr>
        <w:t>2</w:t>
      </w:r>
      <w:r w:rsidR="000E7E94" w:rsidRPr="00DE63B5">
        <w:t xml:space="preserve"> – </w:t>
      </w:r>
      <w:r w:rsidR="000E7E94" w:rsidRPr="00FA4613">
        <w:rPr>
          <w:b/>
        </w:rPr>
        <w:t>JUSTIFICATIVA</w:t>
      </w:r>
    </w:p>
    <w:p w:rsidR="00647B05" w:rsidRDefault="00647B05" w:rsidP="00647B05">
      <w:pPr>
        <w:pStyle w:val="PargrafodaLista"/>
        <w:ind w:left="360"/>
        <w:jc w:val="both"/>
      </w:pPr>
    </w:p>
    <w:p w:rsidR="004528FA" w:rsidRPr="002E073F" w:rsidRDefault="001B1DA2" w:rsidP="004528FA">
      <w:pPr>
        <w:jc w:val="both"/>
      </w:pPr>
      <w:r w:rsidRPr="002E073F">
        <w:t>-</w:t>
      </w:r>
      <w:r w:rsidR="00BC4A92" w:rsidRPr="002E073F">
        <w:t xml:space="preserve">Com fundamento na lei nº 12.249/2010 e NBC </w:t>
      </w:r>
      <w:proofErr w:type="gramStart"/>
      <w:r w:rsidR="00BC4A92" w:rsidRPr="002E073F">
        <w:t>PG(</w:t>
      </w:r>
      <w:proofErr w:type="gramEnd"/>
      <w:r w:rsidR="00BC4A92" w:rsidRPr="002E073F">
        <w:t xml:space="preserve">R3), o CRCGO executa, por meio do Sistema CFC/CRCs e entidades de interesse, projetos que visem promover a educação profissional continuada de seus credenciados. </w:t>
      </w:r>
    </w:p>
    <w:p w:rsidR="001B1DA2" w:rsidRPr="002E073F" w:rsidRDefault="001B1DA2" w:rsidP="00260B67">
      <w:pPr>
        <w:jc w:val="both"/>
      </w:pPr>
      <w:r w:rsidRPr="002E073F">
        <w:t>-</w:t>
      </w:r>
      <w:r w:rsidR="004528FA" w:rsidRPr="002E073F">
        <w:t>A contratação visa viabilizar o uso eficiente dos recursos de videoconferência</w:t>
      </w:r>
      <w:r w:rsidRPr="002E073F">
        <w:t>, reuniões, palestras e curso.</w:t>
      </w:r>
      <w:r w:rsidR="004528FA" w:rsidRPr="002E073F">
        <w:t xml:space="preserve"> </w:t>
      </w:r>
    </w:p>
    <w:p w:rsidR="002E073F" w:rsidRPr="002E073F" w:rsidRDefault="002E073F" w:rsidP="002E073F">
      <w:pPr>
        <w:jc w:val="both"/>
      </w:pPr>
      <w:r w:rsidRPr="002E073F">
        <w:t>-</w:t>
      </w:r>
      <w:r w:rsidRPr="002E073F">
        <w:rPr>
          <w:rFonts w:ascii="Calibri" w:eastAsia="Times New Roman" w:hAnsi="Calibri" w:cs="Calibri"/>
          <w:b/>
          <w:bCs/>
          <w:iCs/>
          <w:color w:val="000000"/>
          <w:sz w:val="27"/>
          <w:szCs w:val="27"/>
        </w:rPr>
        <w:t xml:space="preserve"> </w:t>
      </w:r>
      <w:r w:rsidRPr="002E073F">
        <w:rPr>
          <w:iCs/>
        </w:rPr>
        <w:t>O evento tem como objetivo capacitar os profissionais da contabilidade e também contribuir com esclarecimentos a sociedade como um todo, em especial aos contribuintes Pessoas Físicas no preenchimento da declaração de ajuste do imposto de renda, como também fazer a divulgação da possibilidade de fazer a destinação de valores para os fundos de criança e adolescente e da pessoa idosa.</w:t>
      </w:r>
    </w:p>
    <w:p w:rsidR="002E073F" w:rsidRPr="002E073F" w:rsidRDefault="002E073F" w:rsidP="002E073F">
      <w:pPr>
        <w:jc w:val="both"/>
      </w:pPr>
      <w:r w:rsidRPr="002E073F">
        <w:rPr>
          <w:iCs/>
        </w:rPr>
        <w:t>O evento será feito via transmissão pelas mídias sociais do CRCGO, no dia 20 de março no período de 06hs da manhã, do dia 20 de março, com encerramento às 06 da manhã do dia 21 de março, através de exibição de vídeos gravados, como também de live dos temas definidos.</w:t>
      </w:r>
    </w:p>
    <w:p w:rsidR="00647B05" w:rsidRDefault="000E7E94" w:rsidP="00260B67">
      <w:pPr>
        <w:jc w:val="both"/>
      </w:pPr>
      <w:r>
        <w:br/>
      </w:r>
    </w:p>
    <w:p w:rsidR="00A0159B" w:rsidRDefault="000E7E94" w:rsidP="00647B05">
      <w:pPr>
        <w:rPr>
          <w:b/>
        </w:rPr>
      </w:pPr>
      <w:r w:rsidRPr="00FA4613">
        <w:rPr>
          <w:b/>
        </w:rPr>
        <w:t xml:space="preserve">3 – ESPECIFICAÇÃO DOS </w:t>
      </w:r>
      <w:r w:rsidR="002E073F">
        <w:rPr>
          <w:b/>
        </w:rPr>
        <w:t>SERVIÇOS/EQUIPAMENTOS</w:t>
      </w:r>
    </w:p>
    <w:p w:rsidR="00A0159B" w:rsidRDefault="00A0159B" w:rsidP="00647B05">
      <w:pPr>
        <w:rPr>
          <w:b/>
        </w:rPr>
      </w:pPr>
    </w:p>
    <w:tbl>
      <w:tblPr>
        <w:tblStyle w:val="Tabelacomgrade"/>
        <w:tblW w:w="8613" w:type="dxa"/>
        <w:tblLook w:val="04A0" w:firstRow="1" w:lastRow="0" w:firstColumn="1" w:lastColumn="0" w:noHBand="0" w:noVBand="1"/>
      </w:tblPr>
      <w:tblGrid>
        <w:gridCol w:w="551"/>
        <w:gridCol w:w="6503"/>
        <w:gridCol w:w="709"/>
        <w:gridCol w:w="850"/>
      </w:tblGrid>
      <w:tr w:rsidR="00A64AAC" w:rsidTr="00A64AAC">
        <w:tc>
          <w:tcPr>
            <w:tcW w:w="551" w:type="dxa"/>
            <w:vAlign w:val="center"/>
          </w:tcPr>
          <w:p w:rsidR="00A64AAC" w:rsidRPr="00A0159B" w:rsidRDefault="00A64AAC" w:rsidP="00D23139">
            <w:pPr>
              <w:jc w:val="center"/>
              <w:rPr>
                <w:b/>
                <w:sz w:val="14"/>
                <w:szCs w:val="14"/>
              </w:rPr>
            </w:pPr>
            <w:r w:rsidRPr="00A0159B">
              <w:rPr>
                <w:b/>
                <w:sz w:val="14"/>
                <w:szCs w:val="14"/>
              </w:rPr>
              <w:t>ITEM</w:t>
            </w:r>
          </w:p>
        </w:tc>
        <w:tc>
          <w:tcPr>
            <w:tcW w:w="6503" w:type="dxa"/>
            <w:vAlign w:val="center"/>
          </w:tcPr>
          <w:p w:rsidR="00A64AAC" w:rsidRPr="00A0159B" w:rsidRDefault="00A64AAC" w:rsidP="00D23139">
            <w:pPr>
              <w:jc w:val="center"/>
              <w:rPr>
                <w:b/>
                <w:sz w:val="14"/>
                <w:szCs w:val="14"/>
              </w:rPr>
            </w:pPr>
            <w:r>
              <w:rPr>
                <w:b/>
                <w:sz w:val="14"/>
                <w:szCs w:val="14"/>
              </w:rPr>
              <w:t>DESCRIÇÃO DO EQUIPAMENTO – REQUISITOS MÍNIMOS</w:t>
            </w:r>
          </w:p>
        </w:tc>
        <w:tc>
          <w:tcPr>
            <w:tcW w:w="709" w:type="dxa"/>
            <w:vAlign w:val="center"/>
          </w:tcPr>
          <w:p w:rsidR="00A64AAC" w:rsidRPr="00A0159B" w:rsidRDefault="00A64AAC" w:rsidP="00D23139">
            <w:pPr>
              <w:jc w:val="center"/>
              <w:rPr>
                <w:b/>
                <w:sz w:val="14"/>
                <w:szCs w:val="14"/>
              </w:rPr>
            </w:pPr>
            <w:r>
              <w:rPr>
                <w:b/>
                <w:sz w:val="14"/>
                <w:szCs w:val="14"/>
              </w:rPr>
              <w:t>UND</w:t>
            </w:r>
          </w:p>
        </w:tc>
        <w:tc>
          <w:tcPr>
            <w:tcW w:w="850" w:type="dxa"/>
            <w:vAlign w:val="center"/>
          </w:tcPr>
          <w:p w:rsidR="00A64AAC" w:rsidRPr="00A0159B" w:rsidRDefault="00A64AAC" w:rsidP="00D23139">
            <w:pPr>
              <w:jc w:val="center"/>
              <w:rPr>
                <w:b/>
                <w:sz w:val="14"/>
                <w:szCs w:val="14"/>
              </w:rPr>
            </w:pPr>
            <w:r>
              <w:rPr>
                <w:b/>
                <w:sz w:val="14"/>
                <w:szCs w:val="14"/>
              </w:rPr>
              <w:t>QUT</w:t>
            </w:r>
          </w:p>
        </w:tc>
      </w:tr>
      <w:tr w:rsidR="00A64AAC" w:rsidTr="00A64AAC">
        <w:tc>
          <w:tcPr>
            <w:tcW w:w="551" w:type="dxa"/>
          </w:tcPr>
          <w:p w:rsidR="00A64AAC" w:rsidRDefault="00A64AAC" w:rsidP="00A0159B">
            <w:pPr>
              <w:jc w:val="center"/>
              <w:rPr>
                <w:b/>
                <w:sz w:val="14"/>
                <w:szCs w:val="14"/>
              </w:rPr>
            </w:pPr>
            <w:r>
              <w:rPr>
                <w:b/>
                <w:sz w:val="14"/>
                <w:szCs w:val="14"/>
              </w:rPr>
              <w:t>01</w:t>
            </w:r>
          </w:p>
        </w:tc>
        <w:tc>
          <w:tcPr>
            <w:tcW w:w="6503" w:type="dxa"/>
          </w:tcPr>
          <w:p w:rsidR="00A64AAC" w:rsidRPr="00D23139" w:rsidRDefault="002E073F" w:rsidP="00D23139">
            <w:pPr>
              <w:jc w:val="both"/>
              <w:rPr>
                <w:b/>
                <w:i/>
                <w:sz w:val="14"/>
                <w:szCs w:val="14"/>
              </w:rPr>
            </w:pPr>
            <w:r w:rsidRPr="002E073F">
              <w:rPr>
                <w:i/>
                <w:iCs/>
              </w:rPr>
              <w:t>Contratação de empresa para Gerenciar e Operar a transmissão do Evento: "Imposto de Rende 24h - 1ª Jornada Contábil do CRCGO: Imersão no Imposto de Renda 2023</w:t>
            </w:r>
          </w:p>
        </w:tc>
        <w:tc>
          <w:tcPr>
            <w:tcW w:w="709" w:type="dxa"/>
            <w:vAlign w:val="center"/>
          </w:tcPr>
          <w:p w:rsidR="00A64AAC" w:rsidRPr="00A21DC3" w:rsidRDefault="00A64AAC" w:rsidP="00A0159B">
            <w:pPr>
              <w:jc w:val="center"/>
              <w:rPr>
                <w:b/>
                <w:sz w:val="14"/>
                <w:szCs w:val="14"/>
              </w:rPr>
            </w:pPr>
            <w:r w:rsidRPr="00A21DC3">
              <w:rPr>
                <w:b/>
                <w:sz w:val="14"/>
                <w:szCs w:val="14"/>
              </w:rPr>
              <w:t>UND</w:t>
            </w:r>
          </w:p>
        </w:tc>
        <w:tc>
          <w:tcPr>
            <w:tcW w:w="850" w:type="dxa"/>
            <w:vAlign w:val="center"/>
          </w:tcPr>
          <w:p w:rsidR="00A64AAC" w:rsidRPr="00A21DC3" w:rsidRDefault="002E073F" w:rsidP="00A0159B">
            <w:pPr>
              <w:jc w:val="center"/>
              <w:rPr>
                <w:b/>
                <w:sz w:val="14"/>
                <w:szCs w:val="14"/>
              </w:rPr>
            </w:pPr>
            <w:r>
              <w:rPr>
                <w:b/>
                <w:sz w:val="14"/>
                <w:szCs w:val="14"/>
              </w:rPr>
              <w:t>01</w:t>
            </w:r>
          </w:p>
        </w:tc>
      </w:tr>
      <w:tr w:rsidR="00A64AAC" w:rsidTr="00A64AAC">
        <w:tc>
          <w:tcPr>
            <w:tcW w:w="551" w:type="dxa"/>
          </w:tcPr>
          <w:p w:rsidR="00A64AAC" w:rsidRDefault="00A64AAC" w:rsidP="00A0159B">
            <w:pPr>
              <w:jc w:val="center"/>
              <w:rPr>
                <w:b/>
                <w:sz w:val="14"/>
                <w:szCs w:val="14"/>
              </w:rPr>
            </w:pPr>
          </w:p>
        </w:tc>
        <w:tc>
          <w:tcPr>
            <w:tcW w:w="6503" w:type="dxa"/>
          </w:tcPr>
          <w:p w:rsidR="00A64AAC" w:rsidRPr="00AD717A" w:rsidRDefault="00A64AAC" w:rsidP="00AD717A">
            <w:pPr>
              <w:jc w:val="both"/>
              <w:rPr>
                <w:sz w:val="14"/>
                <w:szCs w:val="14"/>
              </w:rPr>
            </w:pPr>
          </w:p>
        </w:tc>
        <w:tc>
          <w:tcPr>
            <w:tcW w:w="1559" w:type="dxa"/>
            <w:gridSpan w:val="2"/>
            <w:vMerge w:val="restart"/>
            <w:vAlign w:val="center"/>
          </w:tcPr>
          <w:p w:rsidR="00A64AAC" w:rsidRDefault="00A64AAC" w:rsidP="00A0159B">
            <w:pPr>
              <w:jc w:val="center"/>
              <w:rPr>
                <w:b/>
                <w:sz w:val="14"/>
                <w:szCs w:val="14"/>
              </w:rPr>
            </w:pPr>
          </w:p>
        </w:tc>
      </w:tr>
      <w:tr w:rsidR="00A64AAC" w:rsidTr="00A64AAC">
        <w:tc>
          <w:tcPr>
            <w:tcW w:w="551" w:type="dxa"/>
          </w:tcPr>
          <w:p w:rsidR="00A64AAC" w:rsidRDefault="00A64AAC" w:rsidP="00A0159B">
            <w:pPr>
              <w:jc w:val="center"/>
              <w:rPr>
                <w:b/>
                <w:sz w:val="14"/>
                <w:szCs w:val="14"/>
              </w:rPr>
            </w:pPr>
          </w:p>
        </w:tc>
        <w:tc>
          <w:tcPr>
            <w:tcW w:w="6503" w:type="dxa"/>
          </w:tcPr>
          <w:p w:rsidR="00A64AAC" w:rsidRPr="00AD717A" w:rsidRDefault="00A64AAC" w:rsidP="00AD717A">
            <w:pPr>
              <w:jc w:val="both"/>
              <w:rPr>
                <w:sz w:val="14"/>
                <w:szCs w:val="14"/>
              </w:rPr>
            </w:pPr>
          </w:p>
        </w:tc>
        <w:tc>
          <w:tcPr>
            <w:tcW w:w="1559" w:type="dxa"/>
            <w:gridSpan w:val="2"/>
            <w:vMerge/>
            <w:vAlign w:val="center"/>
          </w:tcPr>
          <w:p w:rsidR="00A64AAC" w:rsidRDefault="00A64AAC" w:rsidP="00A0159B">
            <w:pPr>
              <w:jc w:val="center"/>
              <w:rPr>
                <w:b/>
                <w:sz w:val="14"/>
                <w:szCs w:val="14"/>
              </w:rPr>
            </w:pPr>
          </w:p>
        </w:tc>
      </w:tr>
    </w:tbl>
    <w:p w:rsidR="000E7E94" w:rsidRDefault="002E073F" w:rsidP="000E7E94">
      <w:r>
        <w:br/>
        <w:t>Todos equipamentos necessários para a realização do evento, deverão estar inclusos no valor final das propostas</w:t>
      </w:r>
      <w:r>
        <w:br/>
      </w:r>
    </w:p>
    <w:p w:rsidR="002E073F" w:rsidRDefault="002E073F" w:rsidP="000E7E94"/>
    <w:p w:rsidR="000E7E94" w:rsidRPr="00FA4613" w:rsidRDefault="00FA4613" w:rsidP="000E7E94">
      <w:pPr>
        <w:rPr>
          <w:b/>
        </w:rPr>
      </w:pPr>
      <w:r w:rsidRPr="00FA4613">
        <w:rPr>
          <w:b/>
        </w:rPr>
        <w:t>4</w:t>
      </w:r>
      <w:r>
        <w:rPr>
          <w:b/>
        </w:rPr>
        <w:t>.</w:t>
      </w:r>
      <w:r w:rsidR="000E7E94" w:rsidRPr="00FA4613">
        <w:rPr>
          <w:b/>
        </w:rPr>
        <w:t xml:space="preserve"> OBRIGAÇÕES DAS PARTES</w:t>
      </w:r>
    </w:p>
    <w:p w:rsidR="000E7E94" w:rsidRPr="00DE63B5" w:rsidRDefault="000E7E94" w:rsidP="000E7E94"/>
    <w:p w:rsidR="000E7E94" w:rsidRPr="00DE63B5" w:rsidRDefault="00FA4613" w:rsidP="000E7E94">
      <w:r>
        <w:t>4.1</w:t>
      </w:r>
      <w:r w:rsidR="000E7E94" w:rsidRPr="00DE63B5">
        <w:t xml:space="preserve"> Obrigações do Contratante:</w:t>
      </w:r>
    </w:p>
    <w:p w:rsidR="000E7E94" w:rsidRPr="00DE63B5" w:rsidRDefault="000E7E94" w:rsidP="000E7E94"/>
    <w:p w:rsidR="000E7E94" w:rsidRPr="00DE63B5" w:rsidRDefault="00FA4613" w:rsidP="00393668">
      <w:pPr>
        <w:jc w:val="both"/>
      </w:pPr>
      <w:proofErr w:type="gramStart"/>
      <w:r>
        <w:t>4.2</w:t>
      </w:r>
      <w:r w:rsidR="008B381E">
        <w:t xml:space="preserve"> Proceder</w:t>
      </w:r>
      <w:proofErr w:type="gramEnd"/>
      <w:r w:rsidR="008B381E">
        <w:t xml:space="preserve"> o pagamento do</w:t>
      </w:r>
      <w:r w:rsidR="000E7E94" w:rsidRPr="00DE63B5">
        <w:t xml:space="preserve"> </w:t>
      </w:r>
      <w:r w:rsidR="008B381E">
        <w:t>equipamento</w:t>
      </w:r>
      <w:r w:rsidR="000E7E94" w:rsidRPr="00DE63B5">
        <w:t xml:space="preserve"> no prazo estabelecido nas Condições de Pagamento.</w:t>
      </w:r>
    </w:p>
    <w:p w:rsidR="000E7E94" w:rsidRPr="00DE63B5" w:rsidRDefault="000E7E94" w:rsidP="00393668">
      <w:pPr>
        <w:jc w:val="both"/>
      </w:pPr>
    </w:p>
    <w:p w:rsidR="000E7E94" w:rsidRPr="00DE63B5" w:rsidRDefault="00FA4613" w:rsidP="00393668">
      <w:pPr>
        <w:jc w:val="both"/>
      </w:pPr>
      <w:r>
        <w:t>4.3</w:t>
      </w:r>
      <w:r w:rsidR="000E7E94" w:rsidRPr="00DE63B5">
        <w:t xml:space="preserve"> A fiscalização e acompanhamento do contrato serão de responsabilidade do </w:t>
      </w:r>
      <w:r w:rsidR="003A0580">
        <w:t xml:space="preserve">Chefe do Departamento </w:t>
      </w:r>
      <w:r w:rsidR="00EC7998">
        <w:t>de Desenvolvimento Profissional</w:t>
      </w:r>
      <w:r w:rsidR="00A21DC3">
        <w:t>.</w:t>
      </w:r>
    </w:p>
    <w:p w:rsidR="000E7E94" w:rsidRPr="00DE63B5" w:rsidRDefault="000E7E94" w:rsidP="00393668">
      <w:pPr>
        <w:jc w:val="both"/>
      </w:pPr>
    </w:p>
    <w:p w:rsidR="000E7E94" w:rsidRPr="00EC7998" w:rsidRDefault="00FA4613" w:rsidP="00393668">
      <w:pPr>
        <w:jc w:val="both"/>
        <w:rPr>
          <w:b/>
        </w:rPr>
      </w:pPr>
      <w:r w:rsidRPr="00EC7998">
        <w:rPr>
          <w:b/>
        </w:rPr>
        <w:t>4.4</w:t>
      </w:r>
      <w:r w:rsidR="000E7E94" w:rsidRPr="00EC7998">
        <w:rPr>
          <w:b/>
        </w:rPr>
        <w:t xml:space="preserve"> Obrigações da contratada:</w:t>
      </w:r>
    </w:p>
    <w:p w:rsidR="000E7E94" w:rsidRPr="00DE63B5" w:rsidRDefault="000E7E94" w:rsidP="00393668">
      <w:pPr>
        <w:jc w:val="both"/>
      </w:pPr>
    </w:p>
    <w:p w:rsidR="000E7E94" w:rsidRPr="00DE63B5" w:rsidRDefault="00FA4613" w:rsidP="00393668">
      <w:pPr>
        <w:jc w:val="both"/>
      </w:pPr>
      <w:r>
        <w:t>4.5</w:t>
      </w:r>
      <w:r w:rsidR="000E7E94" w:rsidRPr="00DE63B5">
        <w:t xml:space="preserve"> </w:t>
      </w:r>
      <w:r w:rsidR="002E073F">
        <w:t>realizar a prestação de serviços</w:t>
      </w:r>
      <w:r w:rsidR="000E7E94" w:rsidRPr="00DE63B5">
        <w:t xml:space="preserve"> de acordo com o pactuado, </w:t>
      </w:r>
      <w:r w:rsidR="00EC7998" w:rsidRPr="00EC7998">
        <w:rPr>
          <w:b/>
        </w:rPr>
        <w:t xml:space="preserve">NÃO SENDO ACEITO EM HIPÓTESE ALGUMA </w:t>
      </w:r>
      <w:r w:rsidR="002E073F">
        <w:rPr>
          <w:b/>
        </w:rPr>
        <w:t>SERVIÇO/ESTRUTURA</w:t>
      </w:r>
      <w:r w:rsidR="00EC7998" w:rsidRPr="00EC7998">
        <w:rPr>
          <w:b/>
        </w:rPr>
        <w:t xml:space="preserve"> INFERIOR</w:t>
      </w:r>
      <w:r w:rsidR="000E7E94" w:rsidRPr="00DE63B5">
        <w:t xml:space="preserve"> ao </w:t>
      </w:r>
      <w:r w:rsidR="000930CF">
        <w:t>cotado.</w:t>
      </w:r>
    </w:p>
    <w:p w:rsidR="000E7E94" w:rsidRPr="00DE63B5" w:rsidRDefault="000E7E94" w:rsidP="00393668">
      <w:pPr>
        <w:jc w:val="both"/>
      </w:pPr>
    </w:p>
    <w:p w:rsidR="000E7E94" w:rsidRPr="00DE63B5" w:rsidRDefault="00FA4613" w:rsidP="00393668">
      <w:pPr>
        <w:jc w:val="both"/>
      </w:pPr>
      <w:proofErr w:type="gramStart"/>
      <w:r>
        <w:t>4.6</w:t>
      </w:r>
      <w:r w:rsidR="000E7E94" w:rsidRPr="00DE63B5">
        <w:t xml:space="preserve">  Responsabilizar</w:t>
      </w:r>
      <w:proofErr w:type="gramEnd"/>
      <w:r w:rsidR="000E7E94" w:rsidRPr="00DE63B5">
        <w:t>-se  por  todo</w:t>
      </w:r>
      <w:r w:rsidR="00D95FBD">
        <w:t>s</w:t>
      </w:r>
      <w:r w:rsidR="000E7E94" w:rsidRPr="00DE63B5">
        <w:t xml:space="preserve">  o</w:t>
      </w:r>
      <w:r w:rsidR="00D95FBD">
        <w:t>s</w:t>
      </w:r>
      <w:r w:rsidR="000E7E94" w:rsidRPr="00DE63B5">
        <w:t xml:space="preserve">  ônus referentes a</w:t>
      </w:r>
      <w:r w:rsidR="00D95FBD">
        <w:t xml:space="preserve"> </w:t>
      </w:r>
      <w:r w:rsidR="00A5296F">
        <w:t>prestação de serviço.</w:t>
      </w:r>
    </w:p>
    <w:p w:rsidR="000E7E94" w:rsidRPr="00DE63B5" w:rsidRDefault="000E7E94" w:rsidP="00393668">
      <w:pPr>
        <w:jc w:val="both"/>
      </w:pPr>
    </w:p>
    <w:p w:rsidR="000E7E94" w:rsidRPr="00DE63B5" w:rsidRDefault="00FA4613" w:rsidP="00393668">
      <w:pPr>
        <w:jc w:val="both"/>
      </w:pPr>
      <w:proofErr w:type="gramStart"/>
      <w:r>
        <w:t>4.7</w:t>
      </w:r>
      <w:r w:rsidR="00A5296F">
        <w:t xml:space="preserve"> Responsabilizar-se</w:t>
      </w:r>
      <w:proofErr w:type="gramEnd"/>
      <w:r w:rsidR="00A5296F">
        <w:t xml:space="preserve"> pela equipe a ser contratada, profissionais, operadores de equipamentos</w:t>
      </w:r>
      <w:r w:rsidR="000E7E94" w:rsidRPr="00DE63B5">
        <w:t xml:space="preserve">, ocasionalmente com </w:t>
      </w:r>
      <w:r w:rsidR="00A5296F">
        <w:t>data final do evento</w:t>
      </w:r>
      <w:r w:rsidR="000930CF">
        <w:t xml:space="preserve">, ou que não atentada as especificações do </w:t>
      </w:r>
      <w:r w:rsidR="00A5296F">
        <w:t>TR</w:t>
      </w:r>
      <w:r w:rsidR="000E7E94" w:rsidRPr="00DE63B5">
        <w:t xml:space="preserve">, efetuando a permuta, no </w:t>
      </w:r>
      <w:r w:rsidR="000E7E94" w:rsidRPr="00EC7998">
        <w:rPr>
          <w:b/>
        </w:rPr>
        <w:t xml:space="preserve">prazo </w:t>
      </w:r>
      <w:r w:rsidR="00A5296F">
        <w:rPr>
          <w:b/>
        </w:rPr>
        <w:t>máximo de 2 horas</w:t>
      </w:r>
      <w:r w:rsidR="000E7E94" w:rsidRPr="00DE63B5">
        <w:t>, a partir do conhecimento do de</w:t>
      </w:r>
      <w:r w:rsidR="000930CF">
        <w:t>feito</w:t>
      </w:r>
      <w:r w:rsidR="00A5296F">
        <w:t>/inaptidão, através de expediente da ASCOM</w:t>
      </w:r>
      <w:r w:rsidR="00885F0D">
        <w:t>;</w:t>
      </w:r>
    </w:p>
    <w:p w:rsidR="000E7E94" w:rsidRPr="00DE63B5" w:rsidRDefault="000E7E94" w:rsidP="00393668">
      <w:pPr>
        <w:jc w:val="both"/>
      </w:pPr>
    </w:p>
    <w:p w:rsidR="000E7E94" w:rsidRDefault="002E5C2E" w:rsidP="00393668">
      <w:pPr>
        <w:jc w:val="both"/>
      </w:pPr>
      <w:r w:rsidRPr="002E5C2E">
        <w:rPr>
          <w:b/>
        </w:rPr>
        <w:t>5</w:t>
      </w:r>
      <w:r>
        <w:t xml:space="preserve">.Condições de Entrega </w:t>
      </w:r>
      <w:r w:rsidR="00EC7998">
        <w:t>do</w:t>
      </w:r>
      <w:r w:rsidR="00A5296F">
        <w:t>s</w:t>
      </w:r>
      <w:r w:rsidR="000930CF">
        <w:t xml:space="preserve"> </w:t>
      </w:r>
      <w:r w:rsidR="00EC7998">
        <w:t>equipamento</w:t>
      </w:r>
      <w:r w:rsidR="00A5296F">
        <w:t>s para preparação do evento</w:t>
      </w:r>
      <w:r w:rsidR="00885F0D">
        <w:t xml:space="preserve"> </w:t>
      </w:r>
      <w:r w:rsidR="00A5296F">
        <w:t>será encaminhada e autorizada pela ASCOM</w:t>
      </w:r>
    </w:p>
    <w:p w:rsidR="000930CF" w:rsidRDefault="000930CF" w:rsidP="00393668">
      <w:pPr>
        <w:jc w:val="both"/>
      </w:pPr>
    </w:p>
    <w:p w:rsidR="000E7E94" w:rsidRDefault="000E7E94" w:rsidP="00393668">
      <w:pPr>
        <w:pStyle w:val="TableParagraph"/>
        <w:numPr>
          <w:ilvl w:val="0"/>
          <w:numId w:val="1"/>
        </w:numPr>
        <w:tabs>
          <w:tab w:val="left" w:pos="257"/>
        </w:tabs>
        <w:kinsoku w:val="0"/>
        <w:overflowPunct w:val="0"/>
        <w:spacing w:before="47"/>
        <w:jc w:val="both"/>
        <w:rPr>
          <w:b/>
          <w:bCs/>
        </w:rPr>
      </w:pPr>
      <w:r>
        <w:rPr>
          <w:b/>
          <w:bCs/>
        </w:rPr>
        <w:t>– PRAZO DE</w:t>
      </w:r>
      <w:r>
        <w:rPr>
          <w:b/>
          <w:bCs/>
          <w:spacing w:val="-4"/>
        </w:rPr>
        <w:t xml:space="preserve"> </w:t>
      </w:r>
      <w:r>
        <w:rPr>
          <w:b/>
          <w:bCs/>
        </w:rPr>
        <w:t>ENTREGA</w:t>
      </w:r>
    </w:p>
    <w:p w:rsidR="000E7E94" w:rsidRDefault="000E7E94" w:rsidP="00393668">
      <w:pPr>
        <w:pStyle w:val="TableParagraph"/>
        <w:kinsoku w:val="0"/>
        <w:overflowPunct w:val="0"/>
        <w:jc w:val="both"/>
        <w:rPr>
          <w:b/>
          <w:bCs/>
        </w:rPr>
      </w:pPr>
    </w:p>
    <w:p w:rsidR="000E7E94" w:rsidRDefault="000E7E94" w:rsidP="00393668">
      <w:pPr>
        <w:pStyle w:val="TableParagraph"/>
        <w:numPr>
          <w:ilvl w:val="1"/>
          <w:numId w:val="1"/>
        </w:numPr>
        <w:tabs>
          <w:tab w:val="left" w:pos="458"/>
        </w:tabs>
        <w:kinsoku w:val="0"/>
        <w:overflowPunct w:val="0"/>
        <w:ind w:right="54" w:firstLine="0"/>
        <w:jc w:val="both"/>
      </w:pPr>
      <w:r>
        <w:t xml:space="preserve">– Os </w:t>
      </w:r>
      <w:r w:rsidR="00A5296F">
        <w:t>equipamentos</w:t>
      </w:r>
      <w:r w:rsidR="00260B67">
        <w:t xml:space="preserve"> </w:t>
      </w:r>
      <w:r>
        <w:t xml:space="preserve">deverão ser </w:t>
      </w:r>
      <w:r w:rsidR="00A5296F">
        <w:t>preparados no CRCGO a partir</w:t>
      </w:r>
      <w:r>
        <w:t xml:space="preserve"> </w:t>
      </w:r>
      <w:r w:rsidR="00A5296F">
        <w:rPr>
          <w:b/>
        </w:rPr>
        <w:t>no dia 16 de março de 2023</w:t>
      </w:r>
      <w:r w:rsidR="00A21DC3">
        <w:t xml:space="preserve"> </w:t>
      </w:r>
      <w:r w:rsidR="00B00C00">
        <w:t>para efetivar sem problemas no</w:t>
      </w:r>
      <w:r w:rsidR="00A5296F">
        <w:t xml:space="preserve"> dia 20 de março de 2023. O pagamento desse serviço será faturado em até </w:t>
      </w:r>
      <w:r w:rsidR="00BB3B27">
        <w:t>(</w:t>
      </w:r>
      <w:r w:rsidR="00A5296F">
        <w:t>dez</w:t>
      </w:r>
      <w:r w:rsidR="00BB3B27">
        <w:t>)</w:t>
      </w:r>
      <w:r>
        <w:t xml:space="preserve"> dias</w:t>
      </w:r>
      <w:r w:rsidR="00260B67">
        <w:t xml:space="preserve"> </w:t>
      </w:r>
      <w:r>
        <w:t>mediante</w:t>
      </w:r>
      <w:r w:rsidR="00260B67">
        <w:t xml:space="preserve"> apresentação da</w:t>
      </w:r>
      <w:r>
        <w:t xml:space="preserve"> </w:t>
      </w:r>
      <w:r>
        <w:rPr>
          <w:spacing w:val="-9"/>
        </w:rPr>
        <w:t xml:space="preserve">NF, </w:t>
      </w:r>
      <w:r w:rsidR="00A5296F">
        <w:t>na ASCOM</w:t>
      </w:r>
      <w:r>
        <w:t xml:space="preserve"> do Conselho Regional de Contabilidade de Goiás, sito Rua 107 nº </w:t>
      </w:r>
      <w:r w:rsidR="00B00C00">
        <w:t>151, Setor Sul</w:t>
      </w:r>
      <w:r w:rsidR="000930CF">
        <w:t xml:space="preserve">, </w:t>
      </w:r>
      <w:r w:rsidR="00B00C00">
        <w:t>Goiânia-GO</w:t>
      </w:r>
      <w:r w:rsidR="000930CF">
        <w:t>, CEP</w:t>
      </w:r>
      <w:r>
        <w:t xml:space="preserve"> 74</w:t>
      </w:r>
      <w:r w:rsidR="000930CF">
        <w:t>.</w:t>
      </w:r>
      <w:r>
        <w:t>085-060.</w:t>
      </w:r>
    </w:p>
    <w:p w:rsidR="000E7E94" w:rsidRDefault="000E7E94" w:rsidP="00393668">
      <w:pPr>
        <w:pStyle w:val="TableParagraph"/>
        <w:kinsoku w:val="0"/>
        <w:overflowPunct w:val="0"/>
        <w:jc w:val="both"/>
        <w:rPr>
          <w:b/>
          <w:bCs/>
        </w:rPr>
      </w:pPr>
    </w:p>
    <w:p w:rsidR="000E7E94" w:rsidRPr="00AF1697" w:rsidRDefault="00AF1697" w:rsidP="00393668">
      <w:pPr>
        <w:pStyle w:val="TableParagraph"/>
        <w:kinsoku w:val="0"/>
        <w:overflowPunct w:val="0"/>
        <w:spacing w:before="45"/>
        <w:ind w:left="56"/>
        <w:jc w:val="both"/>
        <w:rPr>
          <w:b/>
          <w:bCs/>
        </w:rPr>
      </w:pPr>
      <w:r w:rsidRPr="00AF1697">
        <w:rPr>
          <w:b/>
          <w:bCs/>
        </w:rPr>
        <w:t>7.</w:t>
      </w:r>
      <w:r w:rsidR="000E7E94" w:rsidRPr="00AF1697">
        <w:rPr>
          <w:b/>
          <w:bCs/>
        </w:rPr>
        <w:t>CONDIÇÕES DE RECEBIMENTO</w:t>
      </w:r>
    </w:p>
    <w:p w:rsidR="000E7E94" w:rsidRPr="00A93452" w:rsidRDefault="000E7E94" w:rsidP="00393668">
      <w:pPr>
        <w:pStyle w:val="TableParagraph"/>
        <w:kinsoku w:val="0"/>
        <w:overflowPunct w:val="0"/>
        <w:jc w:val="both"/>
        <w:rPr>
          <w:bCs/>
        </w:rPr>
      </w:pPr>
    </w:p>
    <w:p w:rsidR="00AF1697" w:rsidRDefault="00A21DC3" w:rsidP="00393668">
      <w:pPr>
        <w:jc w:val="both"/>
      </w:pPr>
      <w:proofErr w:type="gramStart"/>
      <w:r>
        <w:t xml:space="preserve">7.1 </w:t>
      </w:r>
      <w:r w:rsidR="007A648B">
        <w:t>Após</w:t>
      </w:r>
      <w:proofErr w:type="gramEnd"/>
      <w:r w:rsidR="007A648B">
        <w:t xml:space="preserve"> constatadas a documentação, o procedimento de entrega </w:t>
      </w:r>
      <w:r w:rsidR="00B00C00">
        <w:t>da proposta</w:t>
      </w:r>
      <w:r w:rsidR="007A648B">
        <w:t xml:space="preserve"> se dará com a geração do empenho no nome da empresa vencedora.</w:t>
      </w:r>
    </w:p>
    <w:p w:rsidR="00393668" w:rsidRDefault="00393668" w:rsidP="00393668">
      <w:pPr>
        <w:pStyle w:val="TableParagraph"/>
        <w:kinsoku w:val="0"/>
        <w:overflowPunct w:val="0"/>
        <w:spacing w:before="47"/>
        <w:ind w:left="56"/>
        <w:jc w:val="both"/>
        <w:rPr>
          <w:b/>
          <w:bCs/>
        </w:rPr>
      </w:pPr>
    </w:p>
    <w:p w:rsidR="00393668" w:rsidRDefault="00260B67" w:rsidP="00393668">
      <w:pPr>
        <w:pStyle w:val="TableParagraph"/>
        <w:kinsoku w:val="0"/>
        <w:overflowPunct w:val="0"/>
        <w:spacing w:before="47"/>
        <w:ind w:left="56"/>
        <w:jc w:val="both"/>
        <w:rPr>
          <w:b/>
          <w:bCs/>
        </w:rPr>
      </w:pPr>
      <w:r>
        <w:rPr>
          <w:b/>
          <w:bCs/>
        </w:rPr>
        <w:t>8</w:t>
      </w:r>
      <w:r w:rsidR="007A648B">
        <w:rPr>
          <w:b/>
          <w:bCs/>
        </w:rPr>
        <w:t xml:space="preserve"> – PRAZOS DE VALIDADE DO</w:t>
      </w:r>
      <w:r w:rsidR="00393668">
        <w:rPr>
          <w:b/>
          <w:bCs/>
        </w:rPr>
        <w:t xml:space="preserve"> PRODUTO</w:t>
      </w:r>
    </w:p>
    <w:p w:rsidR="00393668" w:rsidRDefault="00393668" w:rsidP="00393668">
      <w:pPr>
        <w:pStyle w:val="TableParagraph"/>
        <w:kinsoku w:val="0"/>
        <w:overflowPunct w:val="0"/>
        <w:jc w:val="both"/>
        <w:rPr>
          <w:b/>
          <w:bCs/>
        </w:rPr>
      </w:pPr>
    </w:p>
    <w:p w:rsidR="00393668" w:rsidRDefault="00260B67" w:rsidP="00393668">
      <w:pPr>
        <w:jc w:val="both"/>
      </w:pPr>
      <w:r>
        <w:t>8.1</w:t>
      </w:r>
      <w:r w:rsidR="00393668">
        <w:t xml:space="preserve"> </w:t>
      </w:r>
      <w:r w:rsidR="00885F0D">
        <w:t>–</w:t>
      </w:r>
      <w:r w:rsidR="00393668">
        <w:t xml:space="preserve"> O</w:t>
      </w:r>
      <w:r w:rsidR="00DE286F">
        <w:t xml:space="preserve"> equipamento</w:t>
      </w:r>
      <w:r w:rsidR="00885F0D">
        <w:t xml:space="preserve"> deve</w:t>
      </w:r>
      <w:r w:rsidR="00DE286F">
        <w:t>rá</w:t>
      </w:r>
      <w:r w:rsidR="00393668">
        <w:t xml:space="preserve"> ter </w:t>
      </w:r>
      <w:r w:rsidR="000930CF">
        <w:t xml:space="preserve">prazo de </w:t>
      </w:r>
      <w:r w:rsidR="00885F0D">
        <w:t>garantia</w:t>
      </w:r>
      <w:r w:rsidR="000930CF">
        <w:t xml:space="preserve">, se possível, de </w:t>
      </w:r>
      <w:r w:rsidR="00E621D0">
        <w:t xml:space="preserve">no máximo 12(doze) </w:t>
      </w:r>
      <w:r w:rsidR="00393668">
        <w:t>meses</w:t>
      </w:r>
      <w:r w:rsidR="00885F0D">
        <w:t>, conforme CDC</w:t>
      </w:r>
      <w:r w:rsidR="00393668">
        <w:t>, contados a partir do recebimento definitivo.</w:t>
      </w:r>
    </w:p>
    <w:p w:rsidR="00393668" w:rsidRDefault="00393668" w:rsidP="00393668">
      <w:pPr>
        <w:pStyle w:val="TableParagraph"/>
        <w:kinsoku w:val="0"/>
        <w:overflowPunct w:val="0"/>
        <w:spacing w:before="45"/>
        <w:ind w:left="56"/>
        <w:jc w:val="both"/>
        <w:rPr>
          <w:b/>
          <w:bCs/>
        </w:rPr>
      </w:pPr>
    </w:p>
    <w:p w:rsidR="00393668" w:rsidRDefault="00260B67" w:rsidP="00393668">
      <w:pPr>
        <w:pStyle w:val="TableParagraph"/>
        <w:kinsoku w:val="0"/>
        <w:overflowPunct w:val="0"/>
        <w:spacing w:before="45"/>
        <w:ind w:left="56"/>
        <w:jc w:val="both"/>
        <w:rPr>
          <w:b/>
          <w:bCs/>
        </w:rPr>
      </w:pPr>
      <w:r>
        <w:rPr>
          <w:b/>
          <w:bCs/>
        </w:rPr>
        <w:t>9</w:t>
      </w:r>
      <w:r w:rsidR="00393668">
        <w:rPr>
          <w:b/>
          <w:bCs/>
        </w:rPr>
        <w:t xml:space="preserve"> – CRITÉRIO DE ADJUDICAÇÃO DO OBJETO</w:t>
      </w:r>
    </w:p>
    <w:p w:rsidR="00393668" w:rsidRDefault="00393668" w:rsidP="00393668">
      <w:pPr>
        <w:pStyle w:val="TableParagraph"/>
        <w:kinsoku w:val="0"/>
        <w:overflowPunct w:val="0"/>
        <w:jc w:val="both"/>
        <w:rPr>
          <w:b/>
          <w:bCs/>
        </w:rPr>
      </w:pPr>
    </w:p>
    <w:p w:rsidR="00393668" w:rsidRDefault="00393668" w:rsidP="00393668">
      <w:pPr>
        <w:jc w:val="both"/>
      </w:pPr>
      <w:r>
        <w:t xml:space="preserve">10.1 - O critério a ser adotado é o de menor valor do preço </w:t>
      </w:r>
      <w:r w:rsidR="00260B67">
        <w:t xml:space="preserve">do </w:t>
      </w:r>
      <w:r w:rsidR="00DE286F">
        <w:t>item</w:t>
      </w:r>
      <w:r w:rsidR="00885F0D">
        <w:t>.</w:t>
      </w:r>
    </w:p>
    <w:p w:rsidR="00393668" w:rsidRDefault="00393668" w:rsidP="00393668">
      <w:pPr>
        <w:jc w:val="both"/>
      </w:pPr>
    </w:p>
    <w:p w:rsidR="00885F0D" w:rsidRDefault="00885F0D" w:rsidP="00885F0D">
      <w:pPr>
        <w:pStyle w:val="TableParagraph"/>
        <w:kinsoku w:val="0"/>
        <w:overflowPunct w:val="0"/>
        <w:spacing w:before="45"/>
        <w:ind w:left="56"/>
        <w:jc w:val="both"/>
        <w:rPr>
          <w:b/>
          <w:bCs/>
        </w:rPr>
      </w:pPr>
      <w:r>
        <w:rPr>
          <w:b/>
          <w:bCs/>
        </w:rPr>
        <w:t xml:space="preserve">10 </w:t>
      </w:r>
      <w:r w:rsidR="00393668">
        <w:rPr>
          <w:b/>
          <w:bCs/>
        </w:rPr>
        <w:t>–</w:t>
      </w:r>
      <w:r>
        <w:rPr>
          <w:b/>
          <w:bCs/>
        </w:rPr>
        <w:t xml:space="preserve"> CONDIÇÕES DE PAGAMENTO</w:t>
      </w:r>
    </w:p>
    <w:p w:rsidR="00885F0D" w:rsidRDefault="00885F0D" w:rsidP="00885F0D">
      <w:pPr>
        <w:pStyle w:val="TableParagraph"/>
        <w:kinsoku w:val="0"/>
        <w:overflowPunct w:val="0"/>
        <w:jc w:val="both"/>
        <w:rPr>
          <w:b/>
          <w:bCs/>
        </w:rPr>
      </w:pPr>
    </w:p>
    <w:p w:rsidR="00885F0D" w:rsidRDefault="00885F0D" w:rsidP="00885F0D">
      <w:pPr>
        <w:jc w:val="both"/>
        <w:rPr>
          <w:b/>
        </w:rPr>
      </w:pPr>
      <w:r>
        <w:t xml:space="preserve">10.1 - No prazo de 10 (dez) dias úteis, será procedido o pagamento, contados a partir da certificação da nota fiscal/fatura, que deverá vir acompanhada dos seguintes documentos: a) Certidão do FGTS-CRF; b) Certidão conjunta de débitos relativos a Tributos Federais; c) Dívida Ativa da União; d) Certidão negativa de débito, relativos as contribuições previdenciárias; e) Certidão Negativa de Débitos Trabalhistas - CNDT;  f)  Certidão Negativa Estadual e </w:t>
      </w:r>
      <w:r w:rsidRPr="008B381E">
        <w:rPr>
          <w:b/>
        </w:rPr>
        <w:t>Declaração do optante simples (caso seja optante).</w:t>
      </w:r>
    </w:p>
    <w:p w:rsidR="00B00C00" w:rsidRDefault="00B00C00" w:rsidP="00885F0D">
      <w:pPr>
        <w:jc w:val="both"/>
        <w:rPr>
          <w:b/>
        </w:rPr>
      </w:pPr>
    </w:p>
    <w:p w:rsidR="00B00C00" w:rsidRDefault="00B00C00" w:rsidP="00885F0D">
      <w:pPr>
        <w:jc w:val="both"/>
        <w:rPr>
          <w:b/>
        </w:rPr>
      </w:pPr>
      <w:r>
        <w:rPr>
          <w:b/>
        </w:rPr>
        <w:t>11 – HABILITAÇÃO/CERTIDÕES</w:t>
      </w:r>
    </w:p>
    <w:p w:rsidR="00B00C00" w:rsidRDefault="00B00C00" w:rsidP="00885F0D">
      <w:pPr>
        <w:jc w:val="both"/>
        <w:rPr>
          <w:b/>
        </w:rPr>
      </w:pPr>
    </w:p>
    <w:p w:rsidR="00B00C00" w:rsidRDefault="00B00C00" w:rsidP="00885F0D">
      <w:pPr>
        <w:jc w:val="both"/>
      </w:pPr>
      <w:r w:rsidRPr="00B00C00">
        <w:t xml:space="preserve">a) Certidão do FGTS-CRF; </w:t>
      </w:r>
    </w:p>
    <w:p w:rsidR="00B00C00" w:rsidRDefault="00B00C00" w:rsidP="00885F0D">
      <w:pPr>
        <w:jc w:val="both"/>
      </w:pPr>
      <w:r w:rsidRPr="00B00C00">
        <w:t xml:space="preserve">b) Certidão conjunta de débitos relativos a Tributos Federais; </w:t>
      </w:r>
    </w:p>
    <w:p w:rsidR="00B00C00" w:rsidRDefault="00B00C00" w:rsidP="00885F0D">
      <w:pPr>
        <w:jc w:val="both"/>
      </w:pPr>
      <w:r w:rsidRPr="00B00C00">
        <w:t xml:space="preserve">c) Dívida Ativa da União; </w:t>
      </w:r>
    </w:p>
    <w:p w:rsidR="00B00C00" w:rsidRDefault="00B00C00" w:rsidP="00885F0D">
      <w:pPr>
        <w:jc w:val="both"/>
      </w:pPr>
      <w:r w:rsidRPr="00B00C00">
        <w:t xml:space="preserve">d) Certidão negativa de débito, relativos as contribuições previdenciárias; </w:t>
      </w:r>
    </w:p>
    <w:p w:rsidR="00B00C00" w:rsidRDefault="00B00C00" w:rsidP="00885F0D">
      <w:pPr>
        <w:jc w:val="both"/>
      </w:pPr>
      <w:r w:rsidRPr="00B00C00">
        <w:t xml:space="preserve">e) Certidão Negativa de Débitos Trabalhistas - CNDT;  </w:t>
      </w:r>
    </w:p>
    <w:p w:rsidR="00B00C00" w:rsidRDefault="00B00C00" w:rsidP="00885F0D">
      <w:pPr>
        <w:jc w:val="both"/>
      </w:pPr>
      <w:r w:rsidRPr="00B00C00">
        <w:t xml:space="preserve">f)  Certidão Negativa Estadual e </w:t>
      </w:r>
      <w:r w:rsidRPr="00B00C00">
        <w:rPr>
          <w:b/>
        </w:rPr>
        <w:t>Declaração do optante simples (caso seja optante).</w:t>
      </w:r>
    </w:p>
    <w:p w:rsidR="00393668" w:rsidRDefault="00393668" w:rsidP="00885F0D">
      <w:pPr>
        <w:pStyle w:val="TableParagraph"/>
        <w:tabs>
          <w:tab w:val="left" w:pos="377"/>
        </w:tabs>
        <w:kinsoku w:val="0"/>
        <w:overflowPunct w:val="0"/>
        <w:jc w:val="both"/>
        <w:rPr>
          <w:b/>
          <w:bCs/>
        </w:rPr>
      </w:pPr>
    </w:p>
    <w:p w:rsidR="00393668" w:rsidRDefault="00393668" w:rsidP="00885F0D">
      <w:pPr>
        <w:pStyle w:val="TableParagraph"/>
        <w:kinsoku w:val="0"/>
        <w:overflowPunct w:val="0"/>
        <w:spacing w:before="45"/>
        <w:ind w:left="56"/>
        <w:jc w:val="both"/>
      </w:pPr>
      <w:r>
        <w:rPr>
          <w:b/>
          <w:bCs/>
        </w:rPr>
        <w:t xml:space="preserve">12 – </w:t>
      </w:r>
      <w:r w:rsidR="00885F0D" w:rsidRPr="00393668">
        <w:rPr>
          <w:b/>
          <w:bCs/>
        </w:rPr>
        <w:t>LO</w:t>
      </w:r>
      <w:r w:rsidR="005603FE">
        <w:rPr>
          <w:b/>
          <w:bCs/>
        </w:rPr>
        <w:t>CAL DE REALIZAÇÃO DO EVENTO</w:t>
      </w:r>
    </w:p>
    <w:p w:rsidR="00393668" w:rsidRDefault="00393668" w:rsidP="00393668">
      <w:pPr>
        <w:kinsoku w:val="0"/>
        <w:overflowPunct w:val="0"/>
        <w:spacing w:before="47"/>
        <w:ind w:left="56"/>
        <w:jc w:val="both"/>
        <w:rPr>
          <w:b/>
          <w:bCs/>
          <w:sz w:val="24"/>
          <w:szCs w:val="24"/>
        </w:rPr>
      </w:pPr>
    </w:p>
    <w:p w:rsidR="00393668" w:rsidRDefault="00885F0D" w:rsidP="00393668">
      <w:pPr>
        <w:jc w:val="both"/>
      </w:pPr>
      <w:r>
        <w:t>12</w:t>
      </w:r>
      <w:r w:rsidR="008D1F12">
        <w:t xml:space="preserve">.1 - </w:t>
      </w:r>
      <w:r w:rsidR="00393668" w:rsidRPr="00393668">
        <w:t>Conselho Reg</w:t>
      </w:r>
      <w:r w:rsidR="00260B67">
        <w:t>ional de Contabilidade de Goiás, situado na: Rua 107 nº 151 Setor Sul –</w:t>
      </w:r>
      <w:r w:rsidR="00563353">
        <w:t xml:space="preserve"> Goiânia/</w:t>
      </w:r>
      <w:r w:rsidR="00260B67">
        <w:t>Goiás.</w:t>
      </w:r>
    </w:p>
    <w:p w:rsidR="000930CF" w:rsidRDefault="000930CF" w:rsidP="00393668">
      <w:pPr>
        <w:jc w:val="both"/>
      </w:pPr>
    </w:p>
    <w:p w:rsidR="005603FE" w:rsidRDefault="00885F0D" w:rsidP="00563353">
      <w:pPr>
        <w:pStyle w:val="TableParagraph"/>
        <w:kinsoku w:val="0"/>
        <w:overflowPunct w:val="0"/>
        <w:spacing w:before="45"/>
        <w:jc w:val="both"/>
        <w:rPr>
          <w:b/>
          <w:bCs/>
        </w:rPr>
      </w:pPr>
      <w:r>
        <w:rPr>
          <w:b/>
          <w:bCs/>
        </w:rPr>
        <w:t>13</w:t>
      </w:r>
      <w:r w:rsidR="00393668">
        <w:rPr>
          <w:b/>
          <w:bCs/>
        </w:rPr>
        <w:t>– PENALIDADES</w:t>
      </w:r>
    </w:p>
    <w:p w:rsidR="005603FE" w:rsidRPr="005603FE" w:rsidRDefault="005603FE" w:rsidP="005603FE"/>
    <w:tbl>
      <w:tblPr>
        <w:tblW w:w="9639" w:type="dxa"/>
        <w:tblInd w:w="284" w:type="dxa"/>
        <w:tblLayout w:type="fixed"/>
        <w:tblCellMar>
          <w:left w:w="0" w:type="dxa"/>
          <w:right w:w="0" w:type="dxa"/>
        </w:tblCellMar>
        <w:tblLook w:val="0000" w:firstRow="0" w:lastRow="0" w:firstColumn="0" w:lastColumn="0" w:noHBand="0" w:noVBand="0"/>
      </w:tblPr>
      <w:tblGrid>
        <w:gridCol w:w="9639"/>
      </w:tblGrid>
      <w:tr w:rsidR="00393668" w:rsidTr="00563353">
        <w:trPr>
          <w:trHeight w:val="8387"/>
        </w:trPr>
        <w:tc>
          <w:tcPr>
            <w:tcW w:w="9639" w:type="dxa"/>
          </w:tcPr>
          <w:p w:rsidR="006F1F30" w:rsidRDefault="00393668" w:rsidP="008D1F12">
            <w:pPr>
              <w:pStyle w:val="TableParagraph"/>
              <w:tabs>
                <w:tab w:val="left" w:pos="830"/>
              </w:tabs>
              <w:kinsoku w:val="0"/>
              <w:overflowPunct w:val="0"/>
              <w:spacing w:before="47"/>
              <w:ind w:right="62"/>
              <w:jc w:val="both"/>
            </w:pPr>
            <w:r>
              <w:lastRenderedPageBreak/>
              <w:t>A inexecução parcial, ainda que temporária, ou total das obrigações pactuadas, sujeitará o contratado às seguintes sanções</w:t>
            </w:r>
            <w:r w:rsidR="006F1F30">
              <w:t>:</w:t>
            </w:r>
          </w:p>
          <w:p w:rsidR="00393668" w:rsidRDefault="006F1F30" w:rsidP="00885F0D">
            <w:pPr>
              <w:pStyle w:val="TableParagraph"/>
              <w:numPr>
                <w:ilvl w:val="1"/>
                <w:numId w:val="11"/>
              </w:numPr>
              <w:tabs>
                <w:tab w:val="left" w:pos="830"/>
              </w:tabs>
              <w:kinsoku w:val="0"/>
              <w:overflowPunct w:val="0"/>
              <w:spacing w:before="47"/>
              <w:ind w:right="62"/>
              <w:jc w:val="both"/>
            </w:pPr>
            <w:r>
              <w:t>M</w:t>
            </w:r>
            <w:r w:rsidR="00393668">
              <w:t>ulta de mora, no percentual de 0,5% sobre o valor da parcela em atraso, limitada a 30 (trinta) dias;</w:t>
            </w:r>
          </w:p>
          <w:p w:rsidR="00393668" w:rsidRDefault="00393668" w:rsidP="00647B05">
            <w:pPr>
              <w:pStyle w:val="TableParagraph"/>
              <w:kinsoku w:val="0"/>
              <w:overflowPunct w:val="0"/>
              <w:rPr>
                <w:b/>
                <w:bCs/>
              </w:rPr>
            </w:pPr>
          </w:p>
          <w:p w:rsidR="00393668" w:rsidRDefault="00A64AAC" w:rsidP="006F1F30">
            <w:pPr>
              <w:pStyle w:val="TableParagraph"/>
              <w:tabs>
                <w:tab w:val="left" w:pos="790"/>
              </w:tabs>
              <w:kinsoku w:val="0"/>
              <w:overflowPunct w:val="0"/>
            </w:pPr>
            <w:r>
              <w:t xml:space="preserve"> 13.1</w:t>
            </w:r>
            <w:r w:rsidR="00393668">
              <w:t>–</w:t>
            </w:r>
            <w:r w:rsidR="00393668">
              <w:rPr>
                <w:spacing w:val="-2"/>
              </w:rPr>
              <w:t xml:space="preserve"> </w:t>
            </w:r>
            <w:proofErr w:type="gramStart"/>
            <w:r w:rsidR="00393668">
              <w:t>advertência</w:t>
            </w:r>
            <w:proofErr w:type="gramEnd"/>
            <w:r w:rsidR="00393668">
              <w:t>;</w:t>
            </w:r>
          </w:p>
          <w:p w:rsidR="00393668" w:rsidRDefault="00393668" w:rsidP="00647B05">
            <w:pPr>
              <w:pStyle w:val="TableParagraph"/>
              <w:kinsoku w:val="0"/>
              <w:overflowPunct w:val="0"/>
              <w:rPr>
                <w:b/>
                <w:bCs/>
              </w:rPr>
            </w:pPr>
          </w:p>
          <w:p w:rsidR="00393668" w:rsidRDefault="00A64AAC" w:rsidP="006F1F30">
            <w:pPr>
              <w:pStyle w:val="TableParagraph"/>
              <w:tabs>
                <w:tab w:val="left" w:pos="790"/>
              </w:tabs>
              <w:kinsoku w:val="0"/>
              <w:overflowPunct w:val="0"/>
            </w:pPr>
            <w:r>
              <w:t xml:space="preserve"> 13.2</w:t>
            </w:r>
            <w:r w:rsidR="00393668">
              <w:t xml:space="preserve">– </w:t>
            </w:r>
            <w:proofErr w:type="gramStart"/>
            <w:r w:rsidR="00393668">
              <w:t>multa</w:t>
            </w:r>
            <w:proofErr w:type="gramEnd"/>
            <w:r w:rsidR="00393668">
              <w:t xml:space="preserve"> compensatória, no valor de 10% do valor anual estimado da</w:t>
            </w:r>
            <w:r w:rsidR="00393668">
              <w:rPr>
                <w:spacing w:val="-26"/>
              </w:rPr>
              <w:t xml:space="preserve"> </w:t>
            </w:r>
            <w:r w:rsidR="00393668">
              <w:t>contratação;</w:t>
            </w:r>
          </w:p>
          <w:p w:rsidR="00393668" w:rsidRDefault="00393668" w:rsidP="00647B05">
            <w:pPr>
              <w:pStyle w:val="TableParagraph"/>
              <w:kinsoku w:val="0"/>
              <w:overflowPunct w:val="0"/>
              <w:rPr>
                <w:b/>
                <w:bCs/>
              </w:rPr>
            </w:pPr>
          </w:p>
          <w:p w:rsidR="00393668" w:rsidRDefault="00A64AAC" w:rsidP="006F1F30">
            <w:pPr>
              <w:pStyle w:val="TableParagraph"/>
              <w:tabs>
                <w:tab w:val="left" w:pos="906"/>
              </w:tabs>
              <w:kinsoku w:val="0"/>
              <w:overflowPunct w:val="0"/>
              <w:ind w:left="56" w:right="67"/>
              <w:jc w:val="both"/>
            </w:pPr>
            <w:r>
              <w:t>13.3</w:t>
            </w:r>
            <w:r w:rsidR="00393668">
              <w:t xml:space="preserve">– </w:t>
            </w:r>
            <w:proofErr w:type="gramStart"/>
            <w:r w:rsidR="00393668">
              <w:t>suspensão</w:t>
            </w:r>
            <w:proofErr w:type="gramEnd"/>
            <w:r w:rsidR="00393668">
              <w:t xml:space="preserve"> temporária para participar em licitação e contratar com a Administração pelo prazo de até 2 (dois)</w:t>
            </w:r>
            <w:r w:rsidR="00393668">
              <w:rPr>
                <w:spacing w:val="-5"/>
              </w:rPr>
              <w:t xml:space="preserve"> </w:t>
            </w:r>
            <w:r w:rsidR="00393668">
              <w:t>anos;</w:t>
            </w:r>
          </w:p>
          <w:p w:rsidR="00393668" w:rsidRDefault="00393668" w:rsidP="00647B05">
            <w:pPr>
              <w:pStyle w:val="TableParagraph"/>
              <w:kinsoku w:val="0"/>
              <w:overflowPunct w:val="0"/>
              <w:rPr>
                <w:b/>
                <w:bCs/>
              </w:rPr>
            </w:pPr>
          </w:p>
          <w:p w:rsidR="00393668" w:rsidRDefault="00A64AAC" w:rsidP="006F1F30">
            <w:pPr>
              <w:pStyle w:val="TableParagraph"/>
              <w:tabs>
                <w:tab w:val="left" w:pos="860"/>
              </w:tabs>
              <w:kinsoku w:val="0"/>
              <w:overflowPunct w:val="0"/>
              <w:ind w:left="56" w:right="63"/>
              <w:jc w:val="both"/>
            </w:pPr>
            <w:r>
              <w:t>13.4</w:t>
            </w:r>
            <w:r w:rsidR="00393668">
              <w:t xml:space="preserve">– </w:t>
            </w:r>
            <w:proofErr w:type="gramStart"/>
            <w:r w:rsidR="00393668">
              <w:t>declaração</w:t>
            </w:r>
            <w:proofErr w:type="gramEnd"/>
            <w:r w:rsidR="00393668">
              <w:t xml:space="preserve"> de inidoneidade para licitar ou contratar com a Administração Pública enquanto perdurarem os motivos determinantes da punição ou até que seja promovida a reabilitação perante a própria autoridade que aplicou a</w:t>
            </w:r>
            <w:r w:rsidR="00393668">
              <w:rPr>
                <w:spacing w:val="-17"/>
              </w:rPr>
              <w:t xml:space="preserve"> </w:t>
            </w:r>
            <w:r w:rsidR="00393668">
              <w:t>penalidade.</w:t>
            </w:r>
          </w:p>
          <w:p w:rsidR="00393668" w:rsidRDefault="00393668" w:rsidP="00647B05">
            <w:pPr>
              <w:pStyle w:val="TableParagraph"/>
              <w:kinsoku w:val="0"/>
              <w:overflowPunct w:val="0"/>
              <w:rPr>
                <w:b/>
                <w:bCs/>
              </w:rPr>
            </w:pPr>
          </w:p>
          <w:p w:rsidR="00393668" w:rsidRDefault="006F1F30" w:rsidP="006F1F30">
            <w:pPr>
              <w:pStyle w:val="TableParagraph"/>
              <w:tabs>
                <w:tab w:val="left" w:pos="602"/>
              </w:tabs>
              <w:kinsoku w:val="0"/>
              <w:overflowPunct w:val="0"/>
              <w:ind w:left="56" w:right="71"/>
              <w:jc w:val="both"/>
            </w:pPr>
            <w:r>
              <w:t>1</w:t>
            </w:r>
            <w:r w:rsidR="00A64AAC">
              <w:t>3.5</w:t>
            </w:r>
            <w:r w:rsidR="00393668">
              <w:t>– As sanções de advertência, suspensão temporária e declaração de inidoneidade poderão ser aplicadas juntamente com as multas, conforme o</w:t>
            </w:r>
            <w:r w:rsidR="00393668">
              <w:rPr>
                <w:spacing w:val="-9"/>
              </w:rPr>
              <w:t xml:space="preserve"> </w:t>
            </w:r>
            <w:r w:rsidR="00393668">
              <w:t>caso.</w:t>
            </w:r>
          </w:p>
          <w:p w:rsidR="00393668" w:rsidRDefault="00393668" w:rsidP="00647B05">
            <w:pPr>
              <w:pStyle w:val="TableParagraph"/>
              <w:kinsoku w:val="0"/>
              <w:overflowPunct w:val="0"/>
              <w:rPr>
                <w:b/>
                <w:bCs/>
              </w:rPr>
            </w:pPr>
          </w:p>
          <w:p w:rsidR="00393668" w:rsidRDefault="00A64AAC" w:rsidP="006F1F30">
            <w:pPr>
              <w:pStyle w:val="TableParagraph"/>
              <w:tabs>
                <w:tab w:val="left" w:pos="610"/>
              </w:tabs>
              <w:kinsoku w:val="0"/>
              <w:overflowPunct w:val="0"/>
              <w:ind w:right="65"/>
              <w:jc w:val="both"/>
            </w:pPr>
            <w:r>
              <w:t>13.6</w:t>
            </w:r>
            <w:r w:rsidR="00393668">
              <w:t xml:space="preserve"> O atraso injustificado e superior a 30 (trinta) dias será considerado inexecução total ou parcial, conforme o caso, sujeitando o infrator à cobrança de multas moratória e compensatória, bem como à aplicação das demais sanções e rescisão do</w:t>
            </w:r>
            <w:r w:rsidR="00393668">
              <w:rPr>
                <w:spacing w:val="-18"/>
              </w:rPr>
              <w:t xml:space="preserve"> </w:t>
            </w:r>
            <w:r w:rsidR="00393668">
              <w:t>contrato.</w:t>
            </w:r>
          </w:p>
          <w:p w:rsidR="00393668" w:rsidRDefault="00393668" w:rsidP="00647B05">
            <w:pPr>
              <w:pStyle w:val="TableParagraph"/>
              <w:kinsoku w:val="0"/>
              <w:overflowPunct w:val="0"/>
              <w:rPr>
                <w:b/>
                <w:bCs/>
              </w:rPr>
            </w:pPr>
          </w:p>
          <w:p w:rsidR="00393668" w:rsidRDefault="00A64AAC" w:rsidP="006F1F30">
            <w:pPr>
              <w:pStyle w:val="TableParagraph"/>
              <w:tabs>
                <w:tab w:val="left" w:pos="594"/>
              </w:tabs>
              <w:kinsoku w:val="0"/>
              <w:overflowPunct w:val="0"/>
              <w:spacing w:before="1"/>
              <w:ind w:left="56" w:right="61"/>
              <w:jc w:val="both"/>
            </w:pPr>
            <w:r>
              <w:t>13.7</w:t>
            </w:r>
            <w:r w:rsidR="00393668">
              <w:t>– Na aplicação de penalidades ou na rescisão contratual será observado o direito à ampla defesa e ao</w:t>
            </w:r>
            <w:r w:rsidR="00393668">
              <w:rPr>
                <w:spacing w:val="-1"/>
              </w:rPr>
              <w:t xml:space="preserve"> </w:t>
            </w:r>
            <w:r w:rsidR="00393668">
              <w:t>contraditório.</w:t>
            </w:r>
          </w:p>
          <w:p w:rsidR="00393668" w:rsidRDefault="00393668" w:rsidP="00647B05">
            <w:pPr>
              <w:pStyle w:val="TableParagraph"/>
              <w:kinsoku w:val="0"/>
              <w:overflowPunct w:val="0"/>
              <w:spacing w:before="11"/>
              <w:rPr>
                <w:b/>
                <w:bCs/>
                <w:sz w:val="23"/>
                <w:szCs w:val="23"/>
              </w:rPr>
            </w:pPr>
          </w:p>
          <w:p w:rsidR="00393668" w:rsidRDefault="00A64AAC" w:rsidP="006F1F30">
            <w:pPr>
              <w:pStyle w:val="TableParagraph"/>
              <w:tabs>
                <w:tab w:val="left" w:pos="646"/>
              </w:tabs>
              <w:kinsoku w:val="0"/>
              <w:overflowPunct w:val="0"/>
              <w:ind w:left="56" w:right="66"/>
              <w:jc w:val="both"/>
            </w:pPr>
            <w:r>
              <w:t>13.8</w:t>
            </w:r>
            <w:r w:rsidR="00393668">
              <w:t>– A multa de mora será descontada dos pagamentos que o contratado vier a receber do</w:t>
            </w:r>
            <w:r w:rsidR="00393668">
              <w:rPr>
                <w:spacing w:val="-7"/>
              </w:rPr>
              <w:t xml:space="preserve"> </w:t>
            </w:r>
            <w:r w:rsidR="00393668">
              <w:t>Tribunal.</w:t>
            </w:r>
          </w:p>
          <w:p w:rsidR="00393668" w:rsidRDefault="00393668" w:rsidP="00647B05">
            <w:pPr>
              <w:pStyle w:val="TableParagraph"/>
              <w:kinsoku w:val="0"/>
              <w:overflowPunct w:val="0"/>
              <w:rPr>
                <w:b/>
                <w:bCs/>
              </w:rPr>
            </w:pPr>
          </w:p>
          <w:p w:rsidR="00393668" w:rsidRDefault="00A64AAC" w:rsidP="006F1F30">
            <w:pPr>
              <w:pStyle w:val="TableParagraph"/>
              <w:tabs>
                <w:tab w:val="left" w:pos="634"/>
              </w:tabs>
              <w:kinsoku w:val="0"/>
              <w:overflowPunct w:val="0"/>
              <w:ind w:left="56" w:right="64"/>
              <w:jc w:val="both"/>
            </w:pPr>
            <w:r>
              <w:t>13.9</w:t>
            </w:r>
            <w:r w:rsidR="00393668">
              <w:t xml:space="preserve">– Se o contratado não possuir créditos a receber do </w:t>
            </w:r>
            <w:r w:rsidR="00840921">
              <w:t>Conselho Regional de Contabilidade de Goiás</w:t>
            </w:r>
            <w:r w:rsidR="00393668">
              <w:t>, será solicitado o pagamento da multa por via administrativa e, caso não ocorra,</w:t>
            </w:r>
            <w:r w:rsidR="00393668">
              <w:rPr>
                <w:spacing w:val="-12"/>
              </w:rPr>
              <w:t xml:space="preserve"> </w:t>
            </w:r>
            <w:r w:rsidR="00393668">
              <w:t>judicialmente.</w:t>
            </w:r>
          </w:p>
          <w:p w:rsidR="00840921" w:rsidRDefault="00840921" w:rsidP="002E4343">
            <w:pPr>
              <w:pStyle w:val="TableParagraph"/>
              <w:tabs>
                <w:tab w:val="left" w:pos="634"/>
              </w:tabs>
              <w:kinsoku w:val="0"/>
              <w:overflowPunct w:val="0"/>
              <w:ind w:right="64"/>
              <w:jc w:val="both"/>
            </w:pPr>
          </w:p>
        </w:tc>
      </w:tr>
      <w:tr w:rsidR="00393668" w:rsidTr="00563353">
        <w:trPr>
          <w:trHeight w:val="1208"/>
        </w:trPr>
        <w:tc>
          <w:tcPr>
            <w:tcW w:w="9639" w:type="dxa"/>
          </w:tcPr>
          <w:p w:rsidR="00393668" w:rsidRDefault="00885F0D" w:rsidP="00647B05">
            <w:pPr>
              <w:pStyle w:val="TableParagraph"/>
              <w:kinsoku w:val="0"/>
              <w:overflowPunct w:val="0"/>
              <w:spacing w:before="45"/>
              <w:ind w:left="56"/>
              <w:rPr>
                <w:b/>
                <w:bCs/>
              </w:rPr>
            </w:pPr>
            <w:r>
              <w:rPr>
                <w:b/>
                <w:bCs/>
              </w:rPr>
              <w:t>14</w:t>
            </w:r>
            <w:r w:rsidR="00393668">
              <w:rPr>
                <w:b/>
                <w:bCs/>
              </w:rPr>
              <w:t xml:space="preserve"> - SETOR RESPONSÁVEL PELA ELABORAÇÃO</w:t>
            </w:r>
          </w:p>
          <w:p w:rsidR="00393668" w:rsidRDefault="00393668" w:rsidP="00647B05">
            <w:pPr>
              <w:pStyle w:val="TableParagraph"/>
              <w:kinsoku w:val="0"/>
              <w:overflowPunct w:val="0"/>
              <w:rPr>
                <w:b/>
                <w:bCs/>
              </w:rPr>
            </w:pPr>
          </w:p>
          <w:p w:rsidR="00393668" w:rsidRDefault="008D1F12" w:rsidP="00A64AAC">
            <w:pPr>
              <w:pStyle w:val="TableParagraph"/>
              <w:kinsoku w:val="0"/>
              <w:overflowPunct w:val="0"/>
              <w:ind w:left="56"/>
            </w:pPr>
            <w:r>
              <w:t>14</w:t>
            </w:r>
            <w:r w:rsidR="00393668">
              <w:t xml:space="preserve">.1 – </w:t>
            </w:r>
            <w:r w:rsidR="00840921">
              <w:t xml:space="preserve">Departamento </w:t>
            </w:r>
            <w:r w:rsidR="00A64AAC">
              <w:t>Operacional</w:t>
            </w:r>
          </w:p>
        </w:tc>
      </w:tr>
      <w:tr w:rsidR="00393668" w:rsidTr="00563353">
        <w:trPr>
          <w:trHeight w:val="1211"/>
        </w:trPr>
        <w:tc>
          <w:tcPr>
            <w:tcW w:w="9639" w:type="dxa"/>
          </w:tcPr>
          <w:p w:rsidR="00393668" w:rsidRDefault="008D1F12" w:rsidP="00647B05">
            <w:pPr>
              <w:pStyle w:val="TableParagraph"/>
              <w:kinsoku w:val="0"/>
              <w:overflowPunct w:val="0"/>
              <w:spacing w:before="47"/>
              <w:ind w:left="56"/>
              <w:rPr>
                <w:b/>
                <w:bCs/>
              </w:rPr>
            </w:pPr>
            <w:r>
              <w:rPr>
                <w:b/>
                <w:bCs/>
              </w:rPr>
              <w:lastRenderedPageBreak/>
              <w:t>15</w:t>
            </w:r>
            <w:r w:rsidR="00393668">
              <w:rPr>
                <w:b/>
                <w:bCs/>
              </w:rPr>
              <w:t xml:space="preserve"> - LOCAL E DATA DE ELABORAÇÃO DO INSTRUMENTO</w:t>
            </w:r>
          </w:p>
          <w:p w:rsidR="00393668" w:rsidRDefault="00393668" w:rsidP="00647B05">
            <w:pPr>
              <w:pStyle w:val="TableParagraph"/>
              <w:kinsoku w:val="0"/>
              <w:overflowPunct w:val="0"/>
              <w:rPr>
                <w:b/>
                <w:bCs/>
              </w:rPr>
            </w:pPr>
          </w:p>
          <w:p w:rsidR="00393668" w:rsidRDefault="00840921" w:rsidP="008D1F12">
            <w:pPr>
              <w:pStyle w:val="TableParagraph"/>
              <w:numPr>
                <w:ilvl w:val="1"/>
                <w:numId w:val="13"/>
              </w:numPr>
              <w:kinsoku w:val="0"/>
              <w:overflowPunct w:val="0"/>
            </w:pPr>
            <w:r>
              <w:t>–</w:t>
            </w:r>
            <w:r w:rsidR="00393668">
              <w:t xml:space="preserve"> </w:t>
            </w:r>
            <w:r w:rsidR="00885F0D">
              <w:t xml:space="preserve">Goiânia-GO, </w:t>
            </w:r>
            <w:r w:rsidR="005603FE">
              <w:t>13</w:t>
            </w:r>
            <w:r>
              <w:t xml:space="preserve"> de </w:t>
            </w:r>
            <w:r w:rsidR="005603FE">
              <w:t>março</w:t>
            </w:r>
            <w:r w:rsidR="008D1F12">
              <w:t xml:space="preserve"> </w:t>
            </w:r>
            <w:r w:rsidR="005603FE">
              <w:t>de 2023</w:t>
            </w:r>
            <w:r>
              <w:t>.</w:t>
            </w:r>
          </w:p>
          <w:p w:rsidR="00070AC9" w:rsidRDefault="00070AC9" w:rsidP="00840921">
            <w:pPr>
              <w:pStyle w:val="TableParagraph"/>
              <w:kinsoku w:val="0"/>
              <w:overflowPunct w:val="0"/>
              <w:ind w:left="56"/>
            </w:pPr>
          </w:p>
        </w:tc>
      </w:tr>
      <w:tr w:rsidR="00393668" w:rsidTr="00563353">
        <w:trPr>
          <w:trHeight w:val="2589"/>
        </w:trPr>
        <w:tc>
          <w:tcPr>
            <w:tcW w:w="9639" w:type="dxa"/>
          </w:tcPr>
          <w:p w:rsidR="00393668" w:rsidRDefault="008D1F12" w:rsidP="008D1F12">
            <w:pPr>
              <w:pStyle w:val="TableParagraph"/>
              <w:tabs>
                <w:tab w:val="left" w:pos="390"/>
              </w:tabs>
              <w:kinsoku w:val="0"/>
              <w:overflowPunct w:val="0"/>
              <w:spacing w:before="45"/>
              <w:ind w:left="56" w:right="655"/>
              <w:rPr>
                <w:b/>
                <w:bCs/>
                <w:spacing w:val="-5"/>
              </w:rPr>
            </w:pPr>
            <w:r>
              <w:rPr>
                <w:b/>
                <w:bCs/>
              </w:rPr>
              <w:t>16</w:t>
            </w:r>
            <w:r w:rsidR="00393668">
              <w:rPr>
                <w:b/>
                <w:bCs/>
              </w:rPr>
              <w:t xml:space="preserve">- SETOR RESPONSÁVEL PELA FISCALIZAÇÃO E </w:t>
            </w:r>
            <w:r w:rsidR="00393668">
              <w:rPr>
                <w:b/>
                <w:bCs/>
                <w:spacing w:val="-3"/>
              </w:rPr>
              <w:t>ACOMPANHAMENTO</w:t>
            </w:r>
            <w:r w:rsidR="00393668">
              <w:rPr>
                <w:b/>
                <w:bCs/>
                <w:spacing w:val="-35"/>
              </w:rPr>
              <w:t xml:space="preserve"> </w:t>
            </w:r>
            <w:r w:rsidR="00393668">
              <w:rPr>
                <w:b/>
                <w:bCs/>
              </w:rPr>
              <w:t xml:space="preserve">DA </w:t>
            </w:r>
            <w:r w:rsidR="00393668">
              <w:rPr>
                <w:b/>
                <w:bCs/>
                <w:spacing w:val="-5"/>
              </w:rPr>
              <w:t>CONTRATAÇÃO</w:t>
            </w:r>
          </w:p>
          <w:p w:rsidR="00393668" w:rsidRDefault="00393668" w:rsidP="00647B05">
            <w:pPr>
              <w:pStyle w:val="TableParagraph"/>
              <w:kinsoku w:val="0"/>
              <w:overflowPunct w:val="0"/>
              <w:rPr>
                <w:b/>
                <w:bCs/>
              </w:rPr>
            </w:pPr>
          </w:p>
          <w:p w:rsidR="00393668" w:rsidRDefault="008D1F12" w:rsidP="008D1F12">
            <w:pPr>
              <w:pStyle w:val="TableParagraph"/>
              <w:numPr>
                <w:ilvl w:val="1"/>
                <w:numId w:val="14"/>
              </w:numPr>
              <w:tabs>
                <w:tab w:val="left" w:pos="594"/>
              </w:tabs>
              <w:kinsoku w:val="0"/>
              <w:overflowPunct w:val="0"/>
              <w:ind w:right="70"/>
            </w:pPr>
            <w:r>
              <w:t xml:space="preserve">16.1 </w:t>
            </w:r>
            <w:r w:rsidR="00393668">
              <w:t xml:space="preserve">– </w:t>
            </w:r>
            <w:proofErr w:type="gramStart"/>
            <w:r w:rsidR="00393668">
              <w:t>A fiscalização e o acompanhamento</w:t>
            </w:r>
            <w:proofErr w:type="gramEnd"/>
            <w:r w:rsidR="00393668">
              <w:t xml:space="preserve"> </w:t>
            </w:r>
            <w:r>
              <w:t xml:space="preserve">da </w:t>
            </w:r>
            <w:r w:rsidR="00A64AAC">
              <w:t>empresa vencedora</w:t>
            </w:r>
            <w:r w:rsidR="00393668">
              <w:t xml:space="preserve"> serão realizados </w:t>
            </w:r>
            <w:r w:rsidR="005603FE">
              <w:t>pela ASCOM</w:t>
            </w:r>
            <w:r w:rsidR="00A64AAC">
              <w:t>.</w:t>
            </w:r>
          </w:p>
          <w:p w:rsidR="00393668" w:rsidRDefault="00393668" w:rsidP="00647B05">
            <w:pPr>
              <w:pStyle w:val="TableParagraph"/>
              <w:kinsoku w:val="0"/>
              <w:overflowPunct w:val="0"/>
              <w:rPr>
                <w:b/>
                <w:bCs/>
              </w:rPr>
            </w:pPr>
          </w:p>
          <w:p w:rsidR="00393668" w:rsidRDefault="008D1F12" w:rsidP="004F0C21">
            <w:pPr>
              <w:pStyle w:val="TableParagraph"/>
              <w:tabs>
                <w:tab w:val="left" w:pos="596"/>
              </w:tabs>
              <w:kinsoku w:val="0"/>
              <w:overflowPunct w:val="0"/>
              <w:ind w:left="-1560" w:right="70"/>
            </w:pPr>
            <w:r>
              <w:t xml:space="preserve">               </w:t>
            </w:r>
            <w:r w:rsidR="00563353">
              <w:t xml:space="preserve">                     </w:t>
            </w:r>
            <w:r>
              <w:t>16.2</w:t>
            </w:r>
            <w:r w:rsidR="00A317C6">
              <w:t>–</w:t>
            </w:r>
            <w:r w:rsidR="00A64AAC">
              <w:t xml:space="preserve"> O</w:t>
            </w:r>
            <w:r w:rsidR="00A317C6">
              <w:t xml:space="preserve"> fiscal do</w:t>
            </w:r>
            <w:r w:rsidR="00393668">
              <w:t xml:space="preserve"> </w:t>
            </w:r>
            <w:r w:rsidR="004F0C21">
              <w:t>Contrato</w:t>
            </w:r>
            <w:r w:rsidR="00840921">
              <w:t>,</w:t>
            </w:r>
            <w:r w:rsidR="00A64AAC">
              <w:t xml:space="preserve"> </w:t>
            </w:r>
            <w:r w:rsidR="00A317C6">
              <w:t xml:space="preserve">fará o </w:t>
            </w:r>
            <w:r w:rsidR="00A317C6" w:rsidRPr="008D1F12">
              <w:rPr>
                <w:b/>
              </w:rPr>
              <w:t>acompanhamento</w:t>
            </w:r>
            <w:r w:rsidR="00A317C6">
              <w:t xml:space="preserve"> do recebimento da</w:t>
            </w:r>
            <w:r w:rsidR="000930CF">
              <w:t>s</w:t>
            </w:r>
            <w:r w:rsidR="00A317C6">
              <w:t xml:space="preserve"> nota</w:t>
            </w:r>
            <w:r w:rsidR="000930CF">
              <w:t>s fiscais</w:t>
            </w:r>
            <w:r w:rsidR="00A317C6">
              <w:t>.</w:t>
            </w:r>
            <w:r w:rsidR="004F0C21">
              <w:t xml:space="preserve"> Que </w:t>
            </w:r>
          </w:p>
        </w:tc>
      </w:tr>
      <w:tr w:rsidR="00393668" w:rsidTr="00563353">
        <w:trPr>
          <w:trHeight w:val="659"/>
        </w:trPr>
        <w:tc>
          <w:tcPr>
            <w:tcW w:w="9639" w:type="dxa"/>
          </w:tcPr>
          <w:p w:rsidR="00393668" w:rsidRDefault="00393668" w:rsidP="00647B05">
            <w:pPr>
              <w:pStyle w:val="TableParagraph"/>
              <w:kinsoku w:val="0"/>
              <w:overflowPunct w:val="0"/>
              <w:spacing w:before="1"/>
              <w:rPr>
                <w:b/>
                <w:bCs/>
                <w:sz w:val="28"/>
                <w:szCs w:val="28"/>
              </w:rPr>
            </w:pPr>
          </w:p>
          <w:p w:rsidR="00393668" w:rsidRDefault="00393668" w:rsidP="00647B05">
            <w:pPr>
              <w:pStyle w:val="TableParagraph"/>
              <w:kinsoku w:val="0"/>
              <w:overflowPunct w:val="0"/>
              <w:ind w:left="56"/>
            </w:pPr>
          </w:p>
        </w:tc>
      </w:tr>
      <w:tr w:rsidR="00393668" w:rsidTr="00563353">
        <w:trPr>
          <w:trHeight w:val="3418"/>
        </w:trPr>
        <w:tc>
          <w:tcPr>
            <w:tcW w:w="9639" w:type="dxa"/>
          </w:tcPr>
          <w:p w:rsidR="00393668" w:rsidRDefault="00840921" w:rsidP="00647B05">
            <w:pPr>
              <w:pStyle w:val="TableParagraph"/>
              <w:kinsoku w:val="0"/>
              <w:overflowPunct w:val="0"/>
              <w:spacing w:before="47"/>
              <w:ind w:left="56"/>
            </w:pPr>
            <w:r>
              <w:rPr>
                <w:sz w:val="23"/>
                <w:szCs w:val="23"/>
              </w:rPr>
              <w:t xml:space="preserve">        </w:t>
            </w:r>
          </w:p>
          <w:p w:rsidR="00393668" w:rsidRDefault="00393668" w:rsidP="00647B05">
            <w:pPr>
              <w:pStyle w:val="TableParagraph"/>
              <w:kinsoku w:val="0"/>
              <w:overflowPunct w:val="0"/>
              <w:rPr>
                <w:b/>
                <w:bCs/>
                <w:sz w:val="26"/>
                <w:szCs w:val="26"/>
              </w:rPr>
            </w:pPr>
          </w:p>
          <w:p w:rsidR="00393668" w:rsidRDefault="004F0C21" w:rsidP="00647B05">
            <w:pPr>
              <w:pStyle w:val="TableParagraph"/>
              <w:kinsoku w:val="0"/>
              <w:overflowPunct w:val="0"/>
              <w:rPr>
                <w:b/>
                <w:bCs/>
                <w:sz w:val="26"/>
                <w:szCs w:val="26"/>
              </w:rPr>
            </w:pPr>
            <w:r>
              <w:rPr>
                <w:b/>
                <w:bCs/>
                <w:sz w:val="26"/>
                <w:szCs w:val="26"/>
              </w:rPr>
              <w:t>Responsável pela elaboração do Termo de Referencia</w:t>
            </w:r>
          </w:p>
          <w:p w:rsidR="00070AC9" w:rsidRDefault="00070AC9" w:rsidP="00647B05">
            <w:pPr>
              <w:pStyle w:val="TableParagraph"/>
              <w:kinsoku w:val="0"/>
              <w:overflowPunct w:val="0"/>
              <w:rPr>
                <w:b/>
                <w:bCs/>
                <w:sz w:val="26"/>
                <w:szCs w:val="26"/>
              </w:rPr>
            </w:pPr>
          </w:p>
          <w:p w:rsidR="00070AC9" w:rsidRDefault="00070AC9" w:rsidP="00647B05">
            <w:pPr>
              <w:pStyle w:val="TableParagraph"/>
              <w:kinsoku w:val="0"/>
              <w:overflowPunct w:val="0"/>
              <w:rPr>
                <w:b/>
                <w:bCs/>
                <w:sz w:val="26"/>
                <w:szCs w:val="26"/>
              </w:rPr>
            </w:pPr>
          </w:p>
          <w:p w:rsidR="00070AC9" w:rsidRDefault="00070AC9" w:rsidP="00647B05">
            <w:pPr>
              <w:pStyle w:val="TableParagraph"/>
              <w:kinsoku w:val="0"/>
              <w:overflowPunct w:val="0"/>
              <w:rPr>
                <w:b/>
                <w:bCs/>
                <w:sz w:val="26"/>
                <w:szCs w:val="26"/>
              </w:rPr>
            </w:pPr>
          </w:p>
          <w:p w:rsidR="00070AC9" w:rsidRDefault="00070AC9" w:rsidP="004F0C21">
            <w:pPr>
              <w:pStyle w:val="TableParagraph"/>
              <w:kinsoku w:val="0"/>
              <w:overflowPunct w:val="0"/>
              <w:rPr>
                <w:b/>
                <w:bCs/>
                <w:sz w:val="26"/>
                <w:szCs w:val="26"/>
              </w:rPr>
            </w:pPr>
          </w:p>
          <w:p w:rsidR="00393668" w:rsidRDefault="00A64AAC" w:rsidP="004F0C21">
            <w:pPr>
              <w:pStyle w:val="TableParagraph"/>
              <w:kinsoku w:val="0"/>
              <w:overflowPunct w:val="0"/>
              <w:ind w:right="2951"/>
            </w:pPr>
            <w:r>
              <w:rPr>
                <w:b/>
              </w:rPr>
              <w:t>Admilton Marques da Silva</w:t>
            </w:r>
            <w:r>
              <w:rPr>
                <w:b/>
              </w:rPr>
              <w:br/>
            </w:r>
            <w:r w:rsidR="004F0C21">
              <w:t>Departamento Operacional</w:t>
            </w:r>
          </w:p>
          <w:p w:rsidR="004F0C21" w:rsidRDefault="004F0C21" w:rsidP="004F0C21">
            <w:pPr>
              <w:pStyle w:val="TableParagraph"/>
              <w:kinsoku w:val="0"/>
              <w:overflowPunct w:val="0"/>
              <w:ind w:right="2951"/>
            </w:pPr>
          </w:p>
          <w:p w:rsidR="004F0C21" w:rsidRDefault="004F0C21" w:rsidP="004F0C21">
            <w:pPr>
              <w:pStyle w:val="TableParagraph"/>
              <w:kinsoku w:val="0"/>
              <w:overflowPunct w:val="0"/>
              <w:ind w:right="2951"/>
            </w:pPr>
          </w:p>
          <w:p w:rsidR="004F0C21" w:rsidRDefault="004F0C21" w:rsidP="004F0C21">
            <w:pPr>
              <w:pStyle w:val="TableParagraph"/>
              <w:kinsoku w:val="0"/>
              <w:overflowPunct w:val="0"/>
              <w:ind w:right="2951"/>
            </w:pPr>
          </w:p>
          <w:p w:rsidR="004F0C21" w:rsidRPr="00840921" w:rsidRDefault="004F0C21" w:rsidP="004F0C21">
            <w:pPr>
              <w:pStyle w:val="TableParagraph"/>
              <w:kinsoku w:val="0"/>
              <w:overflowPunct w:val="0"/>
              <w:ind w:right="2951"/>
              <w:rPr>
                <w:b/>
              </w:rPr>
            </w:pPr>
            <w:r>
              <w:t>Atesto</w:t>
            </w:r>
            <w:r>
              <w:br/>
            </w:r>
            <w:r>
              <w:br/>
              <w:t>Fabricio Santos Ferreira</w:t>
            </w:r>
            <w:r>
              <w:br/>
              <w:t>Departamento Operacional</w:t>
            </w:r>
            <w:r>
              <w:br/>
            </w:r>
            <w:r>
              <w:br/>
            </w:r>
            <w:r>
              <w:br/>
            </w:r>
            <w:r>
              <w:br/>
              <w:t xml:space="preserve">Responsável pela revisão </w:t>
            </w:r>
            <w:r>
              <w:br/>
              <w:t>Cleides Gonçalves Terra</w:t>
            </w:r>
            <w:r>
              <w:br/>
            </w:r>
            <w:r>
              <w:lastRenderedPageBreak/>
              <w:t>Departamento Operacional</w:t>
            </w:r>
            <w:r>
              <w:br/>
            </w:r>
            <w:r>
              <w:br/>
            </w:r>
          </w:p>
          <w:p w:rsidR="00840921" w:rsidRDefault="00840921" w:rsidP="008D1F12">
            <w:pPr>
              <w:pStyle w:val="TableParagraph"/>
              <w:kinsoku w:val="0"/>
              <w:overflowPunct w:val="0"/>
              <w:ind w:right="1755"/>
            </w:pPr>
          </w:p>
        </w:tc>
      </w:tr>
      <w:bookmarkEnd w:id="0"/>
    </w:tbl>
    <w:p w:rsidR="00393668" w:rsidRDefault="00393668" w:rsidP="00393668"/>
    <w:p w:rsidR="005B0A16" w:rsidRDefault="005B0A16" w:rsidP="00393668"/>
    <w:p w:rsidR="005B0A16" w:rsidRDefault="005B0A16" w:rsidP="00393668"/>
    <w:sectPr w:rsidR="005B0A16" w:rsidSect="00A64AAC">
      <w:headerReference w:type="default" r:id="rId7"/>
      <w:footerReference w:type="default" r:id="rId8"/>
      <w:pgSz w:w="11906" w:h="16838"/>
      <w:pgMar w:top="1417" w:right="1701" w:bottom="354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B0D" w:rsidRDefault="00B07B0D" w:rsidP="000E7E94">
      <w:r>
        <w:separator/>
      </w:r>
    </w:p>
  </w:endnote>
  <w:endnote w:type="continuationSeparator" w:id="0">
    <w:p w:rsidR="00B07B0D" w:rsidRDefault="00B07B0D" w:rsidP="000E7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F30" w:rsidRDefault="006F1F30" w:rsidP="002B0482">
    <w:pPr>
      <w:pStyle w:val="Cabealho"/>
      <w:jc w:val="center"/>
    </w:pPr>
    <w:r>
      <w:t>Rua 107 nº 151 - Setor Sul - Fone: (62) 3240-2211 Fax: (62) 3240-2170</w:t>
    </w:r>
  </w:p>
  <w:p w:rsidR="006F1F30" w:rsidRDefault="006F1F30" w:rsidP="002B0482">
    <w:pPr>
      <w:pStyle w:val="Cabealho"/>
      <w:jc w:val="center"/>
    </w:pPr>
    <w:r>
      <w:t>CEP 74.085-060 - Goiânia – GO</w:t>
    </w:r>
  </w:p>
  <w:p w:rsidR="006F1F30" w:rsidRDefault="006F1F3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B0D" w:rsidRDefault="00B07B0D" w:rsidP="000E7E94">
      <w:r>
        <w:separator/>
      </w:r>
    </w:p>
  </w:footnote>
  <w:footnote w:type="continuationSeparator" w:id="0">
    <w:p w:rsidR="00B07B0D" w:rsidRDefault="00B07B0D" w:rsidP="000E7E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F30" w:rsidRDefault="006F1F30" w:rsidP="002B0482">
    <w:pPr>
      <w:pStyle w:val="Cabealho"/>
      <w:jc w:val="center"/>
    </w:pPr>
    <w:r>
      <w:rPr>
        <w:noProof/>
      </w:rPr>
      <w:drawing>
        <wp:inline distT="0" distB="0" distL="0" distR="0" wp14:anchorId="7FF52F8A" wp14:editId="7C2DAB01">
          <wp:extent cx="2733040" cy="1280039"/>
          <wp:effectExtent l="0" t="0" r="0" b="0"/>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_logo_horizontal_crc-go_jun_14_curva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70206" cy="129744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5"/>
    <w:multiLevelType w:val="multilevel"/>
    <w:tmpl w:val="00000888"/>
    <w:lvl w:ilvl="0">
      <w:start w:val="6"/>
      <w:numFmt w:val="decimal"/>
      <w:lvlText w:val="%1"/>
      <w:lvlJc w:val="left"/>
      <w:pPr>
        <w:ind w:left="256" w:hanging="200"/>
      </w:pPr>
      <w:rPr>
        <w:rFonts w:ascii="Arial" w:hAnsi="Arial" w:cs="Arial"/>
        <w:b/>
        <w:bCs/>
        <w:w w:val="100"/>
        <w:sz w:val="24"/>
        <w:szCs w:val="24"/>
      </w:rPr>
    </w:lvl>
    <w:lvl w:ilvl="1">
      <w:start w:val="1"/>
      <w:numFmt w:val="decimal"/>
      <w:lvlText w:val="%1.%2"/>
      <w:lvlJc w:val="left"/>
      <w:pPr>
        <w:ind w:left="56" w:hanging="402"/>
      </w:pPr>
      <w:rPr>
        <w:rFonts w:ascii="Arial" w:hAnsi="Arial" w:cs="Arial"/>
        <w:b w:val="0"/>
        <w:bCs w:val="0"/>
        <w:spacing w:val="-1"/>
        <w:w w:val="100"/>
        <w:sz w:val="24"/>
        <w:szCs w:val="24"/>
      </w:rPr>
    </w:lvl>
    <w:lvl w:ilvl="2">
      <w:numFmt w:val="bullet"/>
      <w:lvlText w:val="•"/>
      <w:lvlJc w:val="left"/>
      <w:pPr>
        <w:ind w:left="1294" w:hanging="402"/>
      </w:pPr>
    </w:lvl>
    <w:lvl w:ilvl="3">
      <w:numFmt w:val="bullet"/>
      <w:lvlText w:val="•"/>
      <w:lvlJc w:val="left"/>
      <w:pPr>
        <w:ind w:left="2328" w:hanging="402"/>
      </w:pPr>
    </w:lvl>
    <w:lvl w:ilvl="4">
      <w:numFmt w:val="bullet"/>
      <w:lvlText w:val="•"/>
      <w:lvlJc w:val="left"/>
      <w:pPr>
        <w:ind w:left="3363" w:hanging="402"/>
      </w:pPr>
    </w:lvl>
    <w:lvl w:ilvl="5">
      <w:numFmt w:val="bullet"/>
      <w:lvlText w:val="•"/>
      <w:lvlJc w:val="left"/>
      <w:pPr>
        <w:ind w:left="4397" w:hanging="402"/>
      </w:pPr>
    </w:lvl>
    <w:lvl w:ilvl="6">
      <w:numFmt w:val="bullet"/>
      <w:lvlText w:val="•"/>
      <w:lvlJc w:val="left"/>
      <w:pPr>
        <w:ind w:left="5431" w:hanging="402"/>
      </w:pPr>
    </w:lvl>
    <w:lvl w:ilvl="7">
      <w:numFmt w:val="bullet"/>
      <w:lvlText w:val="•"/>
      <w:lvlJc w:val="left"/>
      <w:pPr>
        <w:ind w:left="6466" w:hanging="402"/>
      </w:pPr>
    </w:lvl>
    <w:lvl w:ilvl="8">
      <w:numFmt w:val="bullet"/>
      <w:lvlText w:val="•"/>
      <w:lvlJc w:val="left"/>
      <w:pPr>
        <w:ind w:left="7500" w:hanging="402"/>
      </w:pPr>
    </w:lvl>
  </w:abstractNum>
  <w:abstractNum w:abstractNumId="1" w15:restartNumberingAfterBreak="0">
    <w:nsid w:val="00000406"/>
    <w:multiLevelType w:val="multilevel"/>
    <w:tmpl w:val="00000889"/>
    <w:lvl w:ilvl="0">
      <w:start w:val="11"/>
      <w:numFmt w:val="decimal"/>
      <w:lvlText w:val="%1"/>
      <w:lvlJc w:val="left"/>
      <w:pPr>
        <w:ind w:left="376" w:hanging="320"/>
      </w:pPr>
      <w:rPr>
        <w:rFonts w:ascii="Arial" w:hAnsi="Arial" w:cs="Arial"/>
        <w:b/>
        <w:bCs/>
        <w:spacing w:val="-14"/>
        <w:w w:val="100"/>
        <w:sz w:val="24"/>
        <w:szCs w:val="24"/>
      </w:rPr>
    </w:lvl>
    <w:lvl w:ilvl="1">
      <w:start w:val="1"/>
      <w:numFmt w:val="decimal"/>
      <w:lvlText w:val="%1.%2"/>
      <w:lvlJc w:val="left"/>
      <w:pPr>
        <w:ind w:left="56" w:hanging="532"/>
      </w:pPr>
      <w:rPr>
        <w:rFonts w:ascii="Arial" w:hAnsi="Arial" w:cs="Arial"/>
        <w:b w:val="0"/>
        <w:bCs w:val="0"/>
        <w:spacing w:val="-20"/>
        <w:w w:val="100"/>
        <w:sz w:val="24"/>
        <w:szCs w:val="24"/>
      </w:rPr>
    </w:lvl>
    <w:lvl w:ilvl="2">
      <w:numFmt w:val="bullet"/>
      <w:lvlText w:val="•"/>
      <w:lvlJc w:val="left"/>
      <w:pPr>
        <w:ind w:left="1401" w:hanging="532"/>
      </w:pPr>
    </w:lvl>
    <w:lvl w:ilvl="3">
      <w:numFmt w:val="bullet"/>
      <w:lvlText w:val="•"/>
      <w:lvlJc w:val="left"/>
      <w:pPr>
        <w:ind w:left="2422" w:hanging="532"/>
      </w:pPr>
    </w:lvl>
    <w:lvl w:ilvl="4">
      <w:numFmt w:val="bullet"/>
      <w:lvlText w:val="•"/>
      <w:lvlJc w:val="left"/>
      <w:pPr>
        <w:ind w:left="3443" w:hanging="532"/>
      </w:pPr>
    </w:lvl>
    <w:lvl w:ilvl="5">
      <w:numFmt w:val="bullet"/>
      <w:lvlText w:val="•"/>
      <w:lvlJc w:val="left"/>
      <w:pPr>
        <w:ind w:left="4464" w:hanging="532"/>
      </w:pPr>
    </w:lvl>
    <w:lvl w:ilvl="6">
      <w:numFmt w:val="bullet"/>
      <w:lvlText w:val="•"/>
      <w:lvlJc w:val="left"/>
      <w:pPr>
        <w:ind w:left="5485" w:hanging="532"/>
      </w:pPr>
    </w:lvl>
    <w:lvl w:ilvl="7">
      <w:numFmt w:val="bullet"/>
      <w:lvlText w:val="•"/>
      <w:lvlJc w:val="left"/>
      <w:pPr>
        <w:ind w:left="6506" w:hanging="532"/>
      </w:pPr>
    </w:lvl>
    <w:lvl w:ilvl="8">
      <w:numFmt w:val="bullet"/>
      <w:lvlText w:val="•"/>
      <w:lvlJc w:val="left"/>
      <w:pPr>
        <w:ind w:left="7527" w:hanging="532"/>
      </w:pPr>
    </w:lvl>
  </w:abstractNum>
  <w:abstractNum w:abstractNumId="2" w15:restartNumberingAfterBreak="0">
    <w:nsid w:val="00000407"/>
    <w:multiLevelType w:val="multilevel"/>
    <w:tmpl w:val="0000088A"/>
    <w:lvl w:ilvl="0">
      <w:start w:val="14"/>
      <w:numFmt w:val="decimal"/>
      <w:lvlText w:val="%1"/>
      <w:lvlJc w:val="left"/>
      <w:pPr>
        <w:ind w:left="56" w:hanging="774"/>
      </w:pPr>
      <w:rPr>
        <w:rFonts w:cs="Times New Roman"/>
      </w:rPr>
    </w:lvl>
    <w:lvl w:ilvl="1">
      <w:start w:val="1"/>
      <w:numFmt w:val="decimal"/>
      <w:lvlText w:val="%1.%2"/>
      <w:lvlJc w:val="left"/>
      <w:pPr>
        <w:ind w:left="56" w:hanging="774"/>
      </w:pPr>
      <w:rPr>
        <w:rFonts w:cs="Times New Roman"/>
      </w:rPr>
    </w:lvl>
    <w:lvl w:ilvl="2">
      <w:start w:val="1"/>
      <w:numFmt w:val="decimal"/>
      <w:lvlText w:val="%1.%2.%3"/>
      <w:lvlJc w:val="left"/>
      <w:pPr>
        <w:ind w:left="56" w:hanging="774"/>
      </w:pPr>
      <w:rPr>
        <w:rFonts w:ascii="Arial" w:hAnsi="Arial" w:cs="Arial"/>
        <w:b w:val="0"/>
        <w:bCs w:val="0"/>
        <w:spacing w:val="-28"/>
        <w:w w:val="100"/>
        <w:sz w:val="24"/>
        <w:szCs w:val="24"/>
      </w:rPr>
    </w:lvl>
    <w:lvl w:ilvl="3">
      <w:numFmt w:val="bullet"/>
      <w:lvlText w:val="•"/>
      <w:lvlJc w:val="left"/>
      <w:pPr>
        <w:ind w:left="2912" w:hanging="774"/>
      </w:pPr>
    </w:lvl>
    <w:lvl w:ilvl="4">
      <w:numFmt w:val="bullet"/>
      <w:lvlText w:val="•"/>
      <w:lvlJc w:val="left"/>
      <w:pPr>
        <w:ind w:left="3863" w:hanging="774"/>
      </w:pPr>
    </w:lvl>
    <w:lvl w:ilvl="5">
      <w:numFmt w:val="bullet"/>
      <w:lvlText w:val="•"/>
      <w:lvlJc w:val="left"/>
      <w:pPr>
        <w:ind w:left="4814" w:hanging="774"/>
      </w:pPr>
    </w:lvl>
    <w:lvl w:ilvl="6">
      <w:numFmt w:val="bullet"/>
      <w:lvlText w:val="•"/>
      <w:lvlJc w:val="left"/>
      <w:pPr>
        <w:ind w:left="5765" w:hanging="774"/>
      </w:pPr>
    </w:lvl>
    <w:lvl w:ilvl="7">
      <w:numFmt w:val="bullet"/>
      <w:lvlText w:val="•"/>
      <w:lvlJc w:val="left"/>
      <w:pPr>
        <w:ind w:left="6716" w:hanging="774"/>
      </w:pPr>
    </w:lvl>
    <w:lvl w:ilvl="8">
      <w:numFmt w:val="bullet"/>
      <w:lvlText w:val="•"/>
      <w:lvlJc w:val="left"/>
      <w:pPr>
        <w:ind w:left="7667" w:hanging="774"/>
      </w:pPr>
    </w:lvl>
  </w:abstractNum>
  <w:abstractNum w:abstractNumId="3" w15:restartNumberingAfterBreak="0">
    <w:nsid w:val="00000408"/>
    <w:multiLevelType w:val="multilevel"/>
    <w:tmpl w:val="0000088B"/>
    <w:lvl w:ilvl="0">
      <w:start w:val="14"/>
      <w:numFmt w:val="decimal"/>
      <w:lvlText w:val="%1"/>
      <w:lvlJc w:val="left"/>
      <w:pPr>
        <w:ind w:left="56" w:hanging="546"/>
      </w:pPr>
      <w:rPr>
        <w:rFonts w:cs="Times New Roman"/>
      </w:rPr>
    </w:lvl>
    <w:lvl w:ilvl="1">
      <w:start w:val="2"/>
      <w:numFmt w:val="decimal"/>
      <w:lvlText w:val="%1.%2"/>
      <w:lvlJc w:val="left"/>
      <w:pPr>
        <w:ind w:left="56" w:hanging="546"/>
      </w:pPr>
      <w:rPr>
        <w:rFonts w:ascii="Arial" w:hAnsi="Arial" w:cs="Arial"/>
        <w:b w:val="0"/>
        <w:bCs w:val="0"/>
        <w:spacing w:val="-2"/>
        <w:w w:val="100"/>
        <w:sz w:val="24"/>
        <w:szCs w:val="24"/>
      </w:rPr>
    </w:lvl>
    <w:lvl w:ilvl="2">
      <w:numFmt w:val="bullet"/>
      <w:lvlText w:val="•"/>
      <w:lvlJc w:val="left"/>
      <w:pPr>
        <w:ind w:left="1961" w:hanging="546"/>
      </w:pPr>
    </w:lvl>
    <w:lvl w:ilvl="3">
      <w:numFmt w:val="bullet"/>
      <w:lvlText w:val="•"/>
      <w:lvlJc w:val="left"/>
      <w:pPr>
        <w:ind w:left="2912" w:hanging="546"/>
      </w:pPr>
    </w:lvl>
    <w:lvl w:ilvl="4">
      <w:numFmt w:val="bullet"/>
      <w:lvlText w:val="•"/>
      <w:lvlJc w:val="left"/>
      <w:pPr>
        <w:ind w:left="3863" w:hanging="546"/>
      </w:pPr>
    </w:lvl>
    <w:lvl w:ilvl="5">
      <w:numFmt w:val="bullet"/>
      <w:lvlText w:val="•"/>
      <w:lvlJc w:val="left"/>
      <w:pPr>
        <w:ind w:left="4814" w:hanging="546"/>
      </w:pPr>
    </w:lvl>
    <w:lvl w:ilvl="6">
      <w:numFmt w:val="bullet"/>
      <w:lvlText w:val="•"/>
      <w:lvlJc w:val="left"/>
      <w:pPr>
        <w:ind w:left="5765" w:hanging="546"/>
      </w:pPr>
    </w:lvl>
    <w:lvl w:ilvl="7">
      <w:numFmt w:val="bullet"/>
      <w:lvlText w:val="•"/>
      <w:lvlJc w:val="left"/>
      <w:pPr>
        <w:ind w:left="6716" w:hanging="546"/>
      </w:pPr>
    </w:lvl>
    <w:lvl w:ilvl="8">
      <w:numFmt w:val="bullet"/>
      <w:lvlText w:val="•"/>
      <w:lvlJc w:val="left"/>
      <w:pPr>
        <w:ind w:left="7667" w:hanging="546"/>
      </w:pPr>
    </w:lvl>
  </w:abstractNum>
  <w:abstractNum w:abstractNumId="4" w15:restartNumberingAfterBreak="0">
    <w:nsid w:val="00000409"/>
    <w:multiLevelType w:val="multilevel"/>
    <w:tmpl w:val="0000088C"/>
    <w:lvl w:ilvl="0">
      <w:start w:val="17"/>
      <w:numFmt w:val="decimal"/>
      <w:lvlText w:val="%1"/>
      <w:lvlJc w:val="left"/>
      <w:pPr>
        <w:ind w:left="56" w:hanging="334"/>
      </w:pPr>
      <w:rPr>
        <w:rFonts w:ascii="Arial" w:hAnsi="Arial" w:cs="Arial"/>
        <w:b/>
        <w:bCs/>
        <w:spacing w:val="-2"/>
        <w:w w:val="100"/>
        <w:sz w:val="24"/>
        <w:szCs w:val="24"/>
      </w:rPr>
    </w:lvl>
    <w:lvl w:ilvl="1">
      <w:start w:val="1"/>
      <w:numFmt w:val="decimal"/>
      <w:lvlText w:val="%1.%2"/>
      <w:lvlJc w:val="left"/>
      <w:pPr>
        <w:ind w:left="56" w:hanging="538"/>
      </w:pPr>
      <w:rPr>
        <w:rFonts w:ascii="Arial" w:hAnsi="Arial" w:cs="Arial"/>
        <w:b w:val="0"/>
        <w:bCs w:val="0"/>
        <w:spacing w:val="-2"/>
        <w:w w:val="100"/>
        <w:sz w:val="24"/>
        <w:szCs w:val="24"/>
      </w:rPr>
    </w:lvl>
    <w:lvl w:ilvl="2">
      <w:numFmt w:val="bullet"/>
      <w:lvlText w:val="•"/>
      <w:lvlJc w:val="left"/>
      <w:pPr>
        <w:ind w:left="1961" w:hanging="538"/>
      </w:pPr>
    </w:lvl>
    <w:lvl w:ilvl="3">
      <w:numFmt w:val="bullet"/>
      <w:lvlText w:val="•"/>
      <w:lvlJc w:val="left"/>
      <w:pPr>
        <w:ind w:left="2912" w:hanging="538"/>
      </w:pPr>
    </w:lvl>
    <w:lvl w:ilvl="4">
      <w:numFmt w:val="bullet"/>
      <w:lvlText w:val="•"/>
      <w:lvlJc w:val="left"/>
      <w:pPr>
        <w:ind w:left="3863" w:hanging="538"/>
      </w:pPr>
    </w:lvl>
    <w:lvl w:ilvl="5">
      <w:numFmt w:val="bullet"/>
      <w:lvlText w:val="•"/>
      <w:lvlJc w:val="left"/>
      <w:pPr>
        <w:ind w:left="4814" w:hanging="538"/>
      </w:pPr>
    </w:lvl>
    <w:lvl w:ilvl="6">
      <w:numFmt w:val="bullet"/>
      <w:lvlText w:val="•"/>
      <w:lvlJc w:val="left"/>
      <w:pPr>
        <w:ind w:left="5765" w:hanging="538"/>
      </w:pPr>
    </w:lvl>
    <w:lvl w:ilvl="7">
      <w:numFmt w:val="bullet"/>
      <w:lvlText w:val="•"/>
      <w:lvlJc w:val="left"/>
      <w:pPr>
        <w:ind w:left="6716" w:hanging="538"/>
      </w:pPr>
    </w:lvl>
    <w:lvl w:ilvl="8">
      <w:numFmt w:val="bullet"/>
      <w:lvlText w:val="•"/>
      <w:lvlJc w:val="left"/>
      <w:pPr>
        <w:ind w:left="7667" w:hanging="538"/>
      </w:pPr>
    </w:lvl>
  </w:abstractNum>
  <w:abstractNum w:abstractNumId="5" w15:restartNumberingAfterBreak="0">
    <w:nsid w:val="153A130C"/>
    <w:multiLevelType w:val="multilevel"/>
    <w:tmpl w:val="B2D060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E375E72"/>
    <w:multiLevelType w:val="multilevel"/>
    <w:tmpl w:val="214A7D12"/>
    <w:lvl w:ilvl="0">
      <w:start w:val="15"/>
      <w:numFmt w:val="decimal"/>
      <w:lvlText w:val="%1"/>
      <w:lvlJc w:val="left"/>
      <w:pPr>
        <w:ind w:left="465" w:hanging="465"/>
      </w:pPr>
      <w:rPr>
        <w:rFonts w:hint="default"/>
      </w:rPr>
    </w:lvl>
    <w:lvl w:ilvl="1">
      <w:start w:val="1"/>
      <w:numFmt w:val="decimal"/>
      <w:lvlText w:val="%1.%2"/>
      <w:lvlJc w:val="left"/>
      <w:pPr>
        <w:ind w:left="521" w:hanging="465"/>
      </w:pPr>
      <w:rPr>
        <w:rFonts w:hint="default"/>
      </w:rPr>
    </w:lvl>
    <w:lvl w:ilvl="2">
      <w:start w:val="1"/>
      <w:numFmt w:val="decimal"/>
      <w:lvlText w:val="%1.%2.%3"/>
      <w:lvlJc w:val="left"/>
      <w:pPr>
        <w:ind w:left="832" w:hanging="720"/>
      </w:pPr>
      <w:rPr>
        <w:rFonts w:hint="default"/>
      </w:rPr>
    </w:lvl>
    <w:lvl w:ilvl="3">
      <w:start w:val="1"/>
      <w:numFmt w:val="decimal"/>
      <w:lvlText w:val="%1.%2.%3.%4"/>
      <w:lvlJc w:val="left"/>
      <w:pPr>
        <w:ind w:left="888" w:hanging="720"/>
      </w:pPr>
      <w:rPr>
        <w:rFonts w:hint="default"/>
      </w:rPr>
    </w:lvl>
    <w:lvl w:ilvl="4">
      <w:start w:val="1"/>
      <w:numFmt w:val="decimal"/>
      <w:lvlText w:val="%1.%2.%3.%4.%5"/>
      <w:lvlJc w:val="left"/>
      <w:pPr>
        <w:ind w:left="1304" w:hanging="1080"/>
      </w:pPr>
      <w:rPr>
        <w:rFonts w:hint="default"/>
      </w:rPr>
    </w:lvl>
    <w:lvl w:ilvl="5">
      <w:start w:val="1"/>
      <w:numFmt w:val="decimal"/>
      <w:lvlText w:val="%1.%2.%3.%4.%5.%6"/>
      <w:lvlJc w:val="left"/>
      <w:pPr>
        <w:ind w:left="1360" w:hanging="1080"/>
      </w:pPr>
      <w:rPr>
        <w:rFonts w:hint="default"/>
      </w:rPr>
    </w:lvl>
    <w:lvl w:ilvl="6">
      <w:start w:val="1"/>
      <w:numFmt w:val="decimal"/>
      <w:lvlText w:val="%1.%2.%3.%4.%5.%6.%7"/>
      <w:lvlJc w:val="left"/>
      <w:pPr>
        <w:ind w:left="1776" w:hanging="1440"/>
      </w:pPr>
      <w:rPr>
        <w:rFonts w:hint="default"/>
      </w:rPr>
    </w:lvl>
    <w:lvl w:ilvl="7">
      <w:start w:val="1"/>
      <w:numFmt w:val="decimal"/>
      <w:lvlText w:val="%1.%2.%3.%4.%5.%6.%7.%8"/>
      <w:lvlJc w:val="left"/>
      <w:pPr>
        <w:ind w:left="2192" w:hanging="1800"/>
      </w:pPr>
      <w:rPr>
        <w:rFonts w:hint="default"/>
      </w:rPr>
    </w:lvl>
    <w:lvl w:ilvl="8">
      <w:start w:val="1"/>
      <w:numFmt w:val="decimal"/>
      <w:lvlText w:val="%1.%2.%3.%4.%5.%6.%7.%8.%9"/>
      <w:lvlJc w:val="left"/>
      <w:pPr>
        <w:ind w:left="2248" w:hanging="1800"/>
      </w:pPr>
      <w:rPr>
        <w:rFonts w:hint="default"/>
      </w:rPr>
    </w:lvl>
  </w:abstractNum>
  <w:abstractNum w:abstractNumId="7" w15:restartNumberingAfterBreak="0">
    <w:nsid w:val="1F2F071D"/>
    <w:multiLevelType w:val="hybridMultilevel"/>
    <w:tmpl w:val="3FB092C8"/>
    <w:lvl w:ilvl="0" w:tplc="3502D5BC">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FB67606"/>
    <w:multiLevelType w:val="multilevel"/>
    <w:tmpl w:val="FF6A3498"/>
    <w:lvl w:ilvl="0">
      <w:start w:val="13"/>
      <w:numFmt w:val="decimal"/>
      <w:lvlText w:val="%1"/>
      <w:lvlJc w:val="left"/>
      <w:pPr>
        <w:ind w:left="416" w:hanging="360"/>
      </w:pPr>
      <w:rPr>
        <w:rFonts w:hint="default"/>
      </w:rPr>
    </w:lvl>
    <w:lvl w:ilvl="1">
      <w:start w:val="1"/>
      <w:numFmt w:val="decimal"/>
      <w:isLgl/>
      <w:lvlText w:val="%1.%2"/>
      <w:lvlJc w:val="left"/>
      <w:pPr>
        <w:ind w:left="671" w:hanging="555"/>
      </w:pPr>
      <w:rPr>
        <w:rFonts w:hint="default"/>
      </w:rPr>
    </w:lvl>
    <w:lvl w:ilvl="2">
      <w:start w:val="1"/>
      <w:numFmt w:val="decimal"/>
      <w:isLgl/>
      <w:lvlText w:val="%1.%2.%3"/>
      <w:lvlJc w:val="left"/>
      <w:pPr>
        <w:ind w:left="896" w:hanging="720"/>
      </w:pPr>
      <w:rPr>
        <w:rFonts w:hint="default"/>
      </w:rPr>
    </w:lvl>
    <w:lvl w:ilvl="3">
      <w:start w:val="1"/>
      <w:numFmt w:val="decimal"/>
      <w:isLgl/>
      <w:lvlText w:val="%1.%2.%3.%4"/>
      <w:lvlJc w:val="left"/>
      <w:pPr>
        <w:ind w:left="1316" w:hanging="1080"/>
      </w:pPr>
      <w:rPr>
        <w:rFonts w:hint="default"/>
      </w:rPr>
    </w:lvl>
    <w:lvl w:ilvl="4">
      <w:start w:val="1"/>
      <w:numFmt w:val="decimal"/>
      <w:isLgl/>
      <w:lvlText w:val="%1.%2.%3.%4.%5"/>
      <w:lvlJc w:val="left"/>
      <w:pPr>
        <w:ind w:left="1376" w:hanging="1080"/>
      </w:pPr>
      <w:rPr>
        <w:rFonts w:hint="default"/>
      </w:rPr>
    </w:lvl>
    <w:lvl w:ilvl="5">
      <w:start w:val="1"/>
      <w:numFmt w:val="decimal"/>
      <w:isLgl/>
      <w:lvlText w:val="%1.%2.%3.%4.%5.%6"/>
      <w:lvlJc w:val="left"/>
      <w:pPr>
        <w:ind w:left="1796" w:hanging="1440"/>
      </w:pPr>
      <w:rPr>
        <w:rFonts w:hint="default"/>
      </w:rPr>
    </w:lvl>
    <w:lvl w:ilvl="6">
      <w:start w:val="1"/>
      <w:numFmt w:val="decimal"/>
      <w:isLgl/>
      <w:lvlText w:val="%1.%2.%3.%4.%5.%6.%7"/>
      <w:lvlJc w:val="left"/>
      <w:pPr>
        <w:ind w:left="1856" w:hanging="1440"/>
      </w:pPr>
      <w:rPr>
        <w:rFonts w:hint="default"/>
      </w:rPr>
    </w:lvl>
    <w:lvl w:ilvl="7">
      <w:start w:val="1"/>
      <w:numFmt w:val="decimal"/>
      <w:isLgl/>
      <w:lvlText w:val="%1.%2.%3.%4.%5.%6.%7.%8"/>
      <w:lvlJc w:val="left"/>
      <w:pPr>
        <w:ind w:left="2276" w:hanging="1800"/>
      </w:pPr>
      <w:rPr>
        <w:rFonts w:hint="default"/>
      </w:rPr>
    </w:lvl>
    <w:lvl w:ilvl="8">
      <w:start w:val="1"/>
      <w:numFmt w:val="decimal"/>
      <w:isLgl/>
      <w:lvlText w:val="%1.%2.%3.%4.%5.%6.%7.%8.%9"/>
      <w:lvlJc w:val="left"/>
      <w:pPr>
        <w:ind w:left="2336" w:hanging="1800"/>
      </w:pPr>
      <w:rPr>
        <w:rFonts w:hint="default"/>
      </w:rPr>
    </w:lvl>
  </w:abstractNum>
  <w:abstractNum w:abstractNumId="9" w15:restartNumberingAfterBreak="0">
    <w:nsid w:val="593506BA"/>
    <w:multiLevelType w:val="multilevel"/>
    <w:tmpl w:val="59DE09F4"/>
    <w:lvl w:ilvl="0">
      <w:start w:val="1"/>
      <w:numFmt w:val="decimal"/>
      <w:lvlText w:val="%1"/>
      <w:lvlJc w:val="left"/>
      <w:pPr>
        <w:ind w:left="630" w:hanging="630"/>
      </w:pPr>
      <w:rPr>
        <w:rFonts w:hint="default"/>
      </w:rPr>
    </w:lvl>
    <w:lvl w:ilvl="1">
      <w:start w:val="1"/>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E516476"/>
    <w:multiLevelType w:val="multilevel"/>
    <w:tmpl w:val="8DBAB008"/>
    <w:lvl w:ilvl="0">
      <w:start w:val="13"/>
      <w:numFmt w:val="decimal"/>
      <w:lvlText w:val="%1"/>
      <w:lvlJc w:val="left"/>
      <w:pPr>
        <w:ind w:left="465" w:hanging="465"/>
      </w:pPr>
      <w:rPr>
        <w:rFonts w:hint="default"/>
      </w:rPr>
    </w:lvl>
    <w:lvl w:ilvl="1">
      <w:start w:val="2"/>
      <w:numFmt w:val="decimal"/>
      <w:lvlText w:val="%1.%2"/>
      <w:lvlJc w:val="left"/>
      <w:pPr>
        <w:ind w:left="1136" w:hanging="465"/>
      </w:pPr>
      <w:rPr>
        <w:rFonts w:hint="default"/>
      </w:rPr>
    </w:lvl>
    <w:lvl w:ilvl="2">
      <w:start w:val="1"/>
      <w:numFmt w:val="decimal"/>
      <w:lvlText w:val="%1.%2.%3"/>
      <w:lvlJc w:val="left"/>
      <w:pPr>
        <w:ind w:left="2062" w:hanging="720"/>
      </w:pPr>
      <w:rPr>
        <w:rFonts w:hint="default"/>
      </w:rPr>
    </w:lvl>
    <w:lvl w:ilvl="3">
      <w:start w:val="1"/>
      <w:numFmt w:val="decimal"/>
      <w:lvlText w:val="%1.%2.%3.%4"/>
      <w:lvlJc w:val="left"/>
      <w:pPr>
        <w:ind w:left="3093" w:hanging="1080"/>
      </w:pPr>
      <w:rPr>
        <w:rFonts w:hint="default"/>
      </w:rPr>
    </w:lvl>
    <w:lvl w:ilvl="4">
      <w:start w:val="1"/>
      <w:numFmt w:val="decimal"/>
      <w:lvlText w:val="%1.%2.%3.%4.%5"/>
      <w:lvlJc w:val="left"/>
      <w:pPr>
        <w:ind w:left="3764" w:hanging="1080"/>
      </w:pPr>
      <w:rPr>
        <w:rFonts w:hint="default"/>
      </w:rPr>
    </w:lvl>
    <w:lvl w:ilvl="5">
      <w:start w:val="1"/>
      <w:numFmt w:val="decimal"/>
      <w:lvlText w:val="%1.%2.%3.%4.%5.%6"/>
      <w:lvlJc w:val="left"/>
      <w:pPr>
        <w:ind w:left="4795" w:hanging="1440"/>
      </w:pPr>
      <w:rPr>
        <w:rFonts w:hint="default"/>
      </w:rPr>
    </w:lvl>
    <w:lvl w:ilvl="6">
      <w:start w:val="1"/>
      <w:numFmt w:val="decimal"/>
      <w:lvlText w:val="%1.%2.%3.%4.%5.%6.%7"/>
      <w:lvlJc w:val="left"/>
      <w:pPr>
        <w:ind w:left="5466" w:hanging="1440"/>
      </w:pPr>
      <w:rPr>
        <w:rFonts w:hint="default"/>
      </w:rPr>
    </w:lvl>
    <w:lvl w:ilvl="7">
      <w:start w:val="1"/>
      <w:numFmt w:val="decimal"/>
      <w:lvlText w:val="%1.%2.%3.%4.%5.%6.%7.%8"/>
      <w:lvlJc w:val="left"/>
      <w:pPr>
        <w:ind w:left="6497" w:hanging="1800"/>
      </w:pPr>
      <w:rPr>
        <w:rFonts w:hint="default"/>
      </w:rPr>
    </w:lvl>
    <w:lvl w:ilvl="8">
      <w:start w:val="1"/>
      <w:numFmt w:val="decimal"/>
      <w:lvlText w:val="%1.%2.%3.%4.%5.%6.%7.%8.%9"/>
      <w:lvlJc w:val="left"/>
      <w:pPr>
        <w:ind w:left="7168" w:hanging="1800"/>
      </w:pPr>
      <w:rPr>
        <w:rFonts w:hint="default"/>
      </w:rPr>
    </w:lvl>
  </w:abstractNum>
  <w:abstractNum w:abstractNumId="11" w15:restartNumberingAfterBreak="0">
    <w:nsid w:val="71853F9A"/>
    <w:multiLevelType w:val="multilevel"/>
    <w:tmpl w:val="64DA68E8"/>
    <w:lvl w:ilvl="0">
      <w:start w:val="14"/>
      <w:numFmt w:val="decimal"/>
      <w:lvlText w:val="%1"/>
      <w:lvlJc w:val="left"/>
      <w:pPr>
        <w:ind w:left="930" w:hanging="930"/>
      </w:pPr>
      <w:rPr>
        <w:rFonts w:hint="default"/>
      </w:rPr>
    </w:lvl>
    <w:lvl w:ilvl="1">
      <w:start w:val="814"/>
      <w:numFmt w:val="decimal"/>
      <w:lvlText w:val="%1.%2"/>
      <w:lvlJc w:val="left"/>
      <w:pPr>
        <w:ind w:left="685" w:hanging="930"/>
      </w:pPr>
      <w:rPr>
        <w:rFonts w:hint="default"/>
      </w:rPr>
    </w:lvl>
    <w:lvl w:ilvl="2">
      <w:start w:val="2"/>
      <w:numFmt w:val="decimal"/>
      <w:lvlText w:val="%1.%2.%3"/>
      <w:lvlJc w:val="left"/>
      <w:pPr>
        <w:ind w:left="440" w:hanging="930"/>
      </w:pPr>
      <w:rPr>
        <w:rFonts w:hint="default"/>
      </w:rPr>
    </w:lvl>
    <w:lvl w:ilvl="3">
      <w:start w:val="1"/>
      <w:numFmt w:val="decimal"/>
      <w:lvlText w:val="%1.%2.%3.%4"/>
      <w:lvlJc w:val="left"/>
      <w:pPr>
        <w:ind w:left="345" w:hanging="1080"/>
      </w:pPr>
      <w:rPr>
        <w:rFonts w:hint="default"/>
      </w:rPr>
    </w:lvl>
    <w:lvl w:ilvl="4">
      <w:start w:val="1"/>
      <w:numFmt w:val="decimal"/>
      <w:lvlText w:val="%1.%2.%3.%4.%5"/>
      <w:lvlJc w:val="left"/>
      <w:pPr>
        <w:ind w:left="100" w:hanging="1080"/>
      </w:pPr>
      <w:rPr>
        <w:rFonts w:hint="default"/>
      </w:rPr>
    </w:lvl>
    <w:lvl w:ilvl="5">
      <w:start w:val="1"/>
      <w:numFmt w:val="decimal"/>
      <w:lvlText w:val="%1.%2.%3.%4.%5.%6"/>
      <w:lvlJc w:val="left"/>
      <w:pPr>
        <w:ind w:left="215" w:hanging="1440"/>
      </w:pPr>
      <w:rPr>
        <w:rFonts w:hint="default"/>
      </w:rPr>
    </w:lvl>
    <w:lvl w:ilvl="6">
      <w:start w:val="1"/>
      <w:numFmt w:val="decimal"/>
      <w:lvlText w:val="%1.%2.%3.%4.%5.%6.%7"/>
      <w:lvlJc w:val="left"/>
      <w:pPr>
        <w:ind w:left="-30" w:hanging="1440"/>
      </w:pPr>
      <w:rPr>
        <w:rFonts w:hint="default"/>
      </w:rPr>
    </w:lvl>
    <w:lvl w:ilvl="7">
      <w:start w:val="1"/>
      <w:numFmt w:val="decimal"/>
      <w:lvlText w:val="%1.%2.%3.%4.%5.%6.%7.%8"/>
      <w:lvlJc w:val="left"/>
      <w:pPr>
        <w:ind w:left="85" w:hanging="1800"/>
      </w:pPr>
      <w:rPr>
        <w:rFonts w:hint="default"/>
      </w:rPr>
    </w:lvl>
    <w:lvl w:ilvl="8">
      <w:start w:val="1"/>
      <w:numFmt w:val="decimal"/>
      <w:lvlText w:val="%1.%2.%3.%4.%5.%6.%7.%8.%9"/>
      <w:lvlJc w:val="left"/>
      <w:pPr>
        <w:ind w:left="-160" w:hanging="1800"/>
      </w:pPr>
      <w:rPr>
        <w:rFonts w:hint="default"/>
      </w:rPr>
    </w:lvl>
  </w:abstractNum>
  <w:abstractNum w:abstractNumId="12" w15:restartNumberingAfterBreak="0">
    <w:nsid w:val="7E555A3A"/>
    <w:multiLevelType w:val="hybridMultilevel"/>
    <w:tmpl w:val="B816C5F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3" w15:restartNumberingAfterBreak="0">
    <w:nsid w:val="7EE60160"/>
    <w:multiLevelType w:val="multilevel"/>
    <w:tmpl w:val="0060E3A8"/>
    <w:lvl w:ilvl="0">
      <w:start w:val="16"/>
      <w:numFmt w:val="decimal"/>
      <w:lvlText w:val="%1"/>
      <w:lvlJc w:val="left"/>
      <w:pPr>
        <w:ind w:left="465" w:hanging="465"/>
      </w:pPr>
      <w:rPr>
        <w:rFonts w:hint="default"/>
      </w:rPr>
    </w:lvl>
    <w:lvl w:ilvl="1">
      <w:start w:val="1"/>
      <w:numFmt w:val="decimal"/>
      <w:lvlText w:val="%1.%2"/>
      <w:lvlJc w:val="left"/>
      <w:pPr>
        <w:ind w:left="-17" w:hanging="465"/>
      </w:pPr>
      <w:rPr>
        <w:rFonts w:hint="default"/>
      </w:rPr>
    </w:lvl>
    <w:lvl w:ilvl="2">
      <w:start w:val="1"/>
      <w:numFmt w:val="decimal"/>
      <w:lvlText w:val="%1.%2.%3"/>
      <w:lvlJc w:val="left"/>
      <w:pPr>
        <w:ind w:left="-244" w:hanging="720"/>
      </w:pPr>
      <w:rPr>
        <w:rFonts w:hint="default"/>
      </w:rPr>
    </w:lvl>
    <w:lvl w:ilvl="3">
      <w:start w:val="1"/>
      <w:numFmt w:val="decimal"/>
      <w:lvlText w:val="%1.%2.%3.%4"/>
      <w:lvlJc w:val="left"/>
      <w:pPr>
        <w:ind w:left="-366" w:hanging="1080"/>
      </w:pPr>
      <w:rPr>
        <w:rFonts w:hint="default"/>
      </w:rPr>
    </w:lvl>
    <w:lvl w:ilvl="4">
      <w:start w:val="1"/>
      <w:numFmt w:val="decimal"/>
      <w:lvlText w:val="%1.%2.%3.%4.%5"/>
      <w:lvlJc w:val="left"/>
      <w:pPr>
        <w:ind w:left="-848" w:hanging="1080"/>
      </w:pPr>
      <w:rPr>
        <w:rFonts w:hint="default"/>
      </w:rPr>
    </w:lvl>
    <w:lvl w:ilvl="5">
      <w:start w:val="1"/>
      <w:numFmt w:val="decimal"/>
      <w:lvlText w:val="%1.%2.%3.%4.%5.%6"/>
      <w:lvlJc w:val="left"/>
      <w:pPr>
        <w:ind w:left="-970" w:hanging="144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574" w:hanging="1800"/>
      </w:pPr>
      <w:rPr>
        <w:rFonts w:hint="default"/>
      </w:rPr>
    </w:lvl>
    <w:lvl w:ilvl="8">
      <w:start w:val="1"/>
      <w:numFmt w:val="decimal"/>
      <w:lvlText w:val="%1.%2.%3.%4.%5.%6.%7.%8.%9"/>
      <w:lvlJc w:val="left"/>
      <w:pPr>
        <w:ind w:left="-2056" w:hanging="1800"/>
      </w:pPr>
      <w:rPr>
        <w:rFonts w:hint="default"/>
      </w:rPr>
    </w:lvl>
  </w:abstractNum>
  <w:num w:numId="1">
    <w:abstractNumId w:val="0"/>
  </w:num>
  <w:num w:numId="2">
    <w:abstractNumId w:val="1"/>
  </w:num>
  <w:num w:numId="3">
    <w:abstractNumId w:val="4"/>
  </w:num>
  <w:num w:numId="4">
    <w:abstractNumId w:val="3"/>
  </w:num>
  <w:num w:numId="5">
    <w:abstractNumId w:val="2"/>
  </w:num>
  <w:num w:numId="6">
    <w:abstractNumId w:val="5"/>
  </w:num>
  <w:num w:numId="7">
    <w:abstractNumId w:val="8"/>
  </w:num>
  <w:num w:numId="8">
    <w:abstractNumId w:val="11"/>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0"/>
  </w:num>
  <w:num w:numId="12">
    <w:abstractNumId w:val="7"/>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E94"/>
    <w:rsid w:val="00023284"/>
    <w:rsid w:val="00070AC9"/>
    <w:rsid w:val="000930CF"/>
    <w:rsid w:val="000E7E94"/>
    <w:rsid w:val="001431E7"/>
    <w:rsid w:val="00157031"/>
    <w:rsid w:val="00192D0C"/>
    <w:rsid w:val="001B1DA2"/>
    <w:rsid w:val="001D4F8E"/>
    <w:rsid w:val="001E3967"/>
    <w:rsid w:val="001E674E"/>
    <w:rsid w:val="00237A55"/>
    <w:rsid w:val="00260B67"/>
    <w:rsid w:val="002B0482"/>
    <w:rsid w:val="002E073F"/>
    <w:rsid w:val="002E4343"/>
    <w:rsid w:val="002E5C2E"/>
    <w:rsid w:val="003059E7"/>
    <w:rsid w:val="00357F09"/>
    <w:rsid w:val="00383769"/>
    <w:rsid w:val="00393668"/>
    <w:rsid w:val="003A0580"/>
    <w:rsid w:val="003F1F86"/>
    <w:rsid w:val="004261BD"/>
    <w:rsid w:val="004528FA"/>
    <w:rsid w:val="004A1A32"/>
    <w:rsid w:val="004B0305"/>
    <w:rsid w:val="004C2F8C"/>
    <w:rsid w:val="004F0C21"/>
    <w:rsid w:val="00534A52"/>
    <w:rsid w:val="0054448A"/>
    <w:rsid w:val="005603FE"/>
    <w:rsid w:val="00563353"/>
    <w:rsid w:val="005A7745"/>
    <w:rsid w:val="005B0A16"/>
    <w:rsid w:val="005B2730"/>
    <w:rsid w:val="00613BFA"/>
    <w:rsid w:val="00647B05"/>
    <w:rsid w:val="0066581C"/>
    <w:rsid w:val="0066709C"/>
    <w:rsid w:val="006C612A"/>
    <w:rsid w:val="006F1F30"/>
    <w:rsid w:val="00734E7F"/>
    <w:rsid w:val="007524CB"/>
    <w:rsid w:val="007A648B"/>
    <w:rsid w:val="007D4ABB"/>
    <w:rsid w:val="007F05C0"/>
    <w:rsid w:val="008165C1"/>
    <w:rsid w:val="00837FFD"/>
    <w:rsid w:val="00840921"/>
    <w:rsid w:val="00880BEF"/>
    <w:rsid w:val="00885F0D"/>
    <w:rsid w:val="008A1229"/>
    <w:rsid w:val="008B381E"/>
    <w:rsid w:val="008D1F12"/>
    <w:rsid w:val="00990EDB"/>
    <w:rsid w:val="009C562A"/>
    <w:rsid w:val="00A0159B"/>
    <w:rsid w:val="00A16DB2"/>
    <w:rsid w:val="00A21DC3"/>
    <w:rsid w:val="00A23205"/>
    <w:rsid w:val="00A317C6"/>
    <w:rsid w:val="00A5296F"/>
    <w:rsid w:val="00A64AAC"/>
    <w:rsid w:val="00AB0A93"/>
    <w:rsid w:val="00AD717A"/>
    <w:rsid w:val="00AF1697"/>
    <w:rsid w:val="00B00C00"/>
    <w:rsid w:val="00B07B0D"/>
    <w:rsid w:val="00B857AC"/>
    <w:rsid w:val="00BB3B27"/>
    <w:rsid w:val="00BC4A92"/>
    <w:rsid w:val="00BD3BCC"/>
    <w:rsid w:val="00C06ECD"/>
    <w:rsid w:val="00C07C64"/>
    <w:rsid w:val="00C307E9"/>
    <w:rsid w:val="00CA1CD5"/>
    <w:rsid w:val="00CD6EFD"/>
    <w:rsid w:val="00D1099B"/>
    <w:rsid w:val="00D16A9A"/>
    <w:rsid w:val="00D23139"/>
    <w:rsid w:val="00D7619A"/>
    <w:rsid w:val="00D95FBD"/>
    <w:rsid w:val="00DB1C17"/>
    <w:rsid w:val="00DE286F"/>
    <w:rsid w:val="00E30A13"/>
    <w:rsid w:val="00E36234"/>
    <w:rsid w:val="00E621D0"/>
    <w:rsid w:val="00E67D00"/>
    <w:rsid w:val="00E76093"/>
    <w:rsid w:val="00EA29A2"/>
    <w:rsid w:val="00EC7998"/>
    <w:rsid w:val="00F31E10"/>
    <w:rsid w:val="00F74458"/>
    <w:rsid w:val="00FA4613"/>
    <w:rsid w:val="00FB03BC"/>
    <w:rsid w:val="00FE35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CABE32-7E15-4DAE-8EE1-A731D2C5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E7E94"/>
    <w:pPr>
      <w:widowControl w:val="0"/>
      <w:autoSpaceDE w:val="0"/>
      <w:autoSpaceDN w:val="0"/>
      <w:adjustRightInd w:val="0"/>
      <w:spacing w:after="0" w:line="240" w:lineRule="auto"/>
    </w:pPr>
    <w:rPr>
      <w:rFonts w:ascii="Arial" w:eastAsiaTheme="minorEastAsia" w:hAnsi="Arial" w:cs="Arial"/>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0E7E94"/>
    <w:rPr>
      <w:b/>
      <w:bCs/>
      <w:sz w:val="24"/>
      <w:szCs w:val="24"/>
    </w:rPr>
  </w:style>
  <w:style w:type="character" w:customStyle="1" w:styleId="CorpodetextoChar">
    <w:name w:val="Corpo de texto Char"/>
    <w:basedOn w:val="Fontepargpadro"/>
    <w:link w:val="Corpodetexto"/>
    <w:uiPriority w:val="1"/>
    <w:rsid w:val="000E7E94"/>
    <w:rPr>
      <w:rFonts w:ascii="Arial" w:eastAsiaTheme="minorEastAsia" w:hAnsi="Arial" w:cs="Arial"/>
      <w:b/>
      <w:bCs/>
      <w:sz w:val="24"/>
      <w:szCs w:val="24"/>
      <w:lang w:eastAsia="pt-BR"/>
    </w:rPr>
  </w:style>
  <w:style w:type="paragraph" w:customStyle="1" w:styleId="TableParagraph">
    <w:name w:val="Table Paragraph"/>
    <w:basedOn w:val="Normal"/>
    <w:uiPriority w:val="1"/>
    <w:qFormat/>
    <w:rsid w:val="000E7E94"/>
    <w:rPr>
      <w:sz w:val="24"/>
      <w:szCs w:val="24"/>
    </w:rPr>
  </w:style>
  <w:style w:type="table" w:styleId="Tabelacomgrade">
    <w:name w:val="Table Grid"/>
    <w:basedOn w:val="Tabelanormal"/>
    <w:uiPriority w:val="59"/>
    <w:rsid w:val="000E7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nhideWhenUsed/>
    <w:rsid w:val="000E7E94"/>
    <w:pPr>
      <w:tabs>
        <w:tab w:val="center" w:pos="4252"/>
        <w:tab w:val="right" w:pos="8504"/>
      </w:tabs>
    </w:pPr>
  </w:style>
  <w:style w:type="character" w:customStyle="1" w:styleId="CabealhoChar">
    <w:name w:val="Cabeçalho Char"/>
    <w:basedOn w:val="Fontepargpadro"/>
    <w:link w:val="Cabealho"/>
    <w:rsid w:val="000E7E94"/>
    <w:rPr>
      <w:rFonts w:ascii="Arial" w:eastAsiaTheme="minorEastAsia" w:hAnsi="Arial" w:cs="Arial"/>
      <w:lang w:eastAsia="pt-BR"/>
    </w:rPr>
  </w:style>
  <w:style w:type="paragraph" w:styleId="Rodap">
    <w:name w:val="footer"/>
    <w:basedOn w:val="Normal"/>
    <w:link w:val="RodapChar"/>
    <w:uiPriority w:val="99"/>
    <w:unhideWhenUsed/>
    <w:rsid w:val="000E7E94"/>
    <w:pPr>
      <w:tabs>
        <w:tab w:val="center" w:pos="4252"/>
        <w:tab w:val="right" w:pos="8504"/>
      </w:tabs>
    </w:pPr>
  </w:style>
  <w:style w:type="character" w:customStyle="1" w:styleId="RodapChar">
    <w:name w:val="Rodapé Char"/>
    <w:basedOn w:val="Fontepargpadro"/>
    <w:link w:val="Rodap"/>
    <w:uiPriority w:val="99"/>
    <w:rsid w:val="000E7E94"/>
    <w:rPr>
      <w:rFonts w:ascii="Arial" w:eastAsiaTheme="minorEastAsia" w:hAnsi="Arial" w:cs="Arial"/>
      <w:lang w:eastAsia="pt-BR"/>
    </w:rPr>
  </w:style>
  <w:style w:type="paragraph" w:styleId="PargrafodaLista">
    <w:name w:val="List Paragraph"/>
    <w:basedOn w:val="Normal"/>
    <w:uiPriority w:val="34"/>
    <w:qFormat/>
    <w:rsid w:val="00393668"/>
    <w:pPr>
      <w:ind w:left="720"/>
      <w:contextualSpacing/>
    </w:pPr>
  </w:style>
  <w:style w:type="paragraph" w:styleId="Textodebalo">
    <w:name w:val="Balloon Text"/>
    <w:basedOn w:val="Normal"/>
    <w:link w:val="TextodebaloChar"/>
    <w:uiPriority w:val="99"/>
    <w:semiHidden/>
    <w:unhideWhenUsed/>
    <w:rsid w:val="002B0482"/>
    <w:rPr>
      <w:rFonts w:ascii="Tahoma" w:hAnsi="Tahoma" w:cs="Tahoma"/>
      <w:sz w:val="16"/>
      <w:szCs w:val="16"/>
    </w:rPr>
  </w:style>
  <w:style w:type="character" w:customStyle="1" w:styleId="TextodebaloChar">
    <w:name w:val="Texto de balão Char"/>
    <w:basedOn w:val="Fontepargpadro"/>
    <w:link w:val="Textodebalo"/>
    <w:uiPriority w:val="99"/>
    <w:semiHidden/>
    <w:rsid w:val="002B0482"/>
    <w:rPr>
      <w:rFonts w:ascii="Tahoma" w:eastAsiaTheme="minorEastAsia"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80879">
      <w:bodyDiv w:val="1"/>
      <w:marLeft w:val="0"/>
      <w:marRight w:val="0"/>
      <w:marTop w:val="0"/>
      <w:marBottom w:val="0"/>
      <w:divBdr>
        <w:top w:val="none" w:sz="0" w:space="0" w:color="auto"/>
        <w:left w:val="none" w:sz="0" w:space="0" w:color="auto"/>
        <w:bottom w:val="none" w:sz="0" w:space="0" w:color="auto"/>
        <w:right w:val="none" w:sz="0" w:space="0" w:color="auto"/>
      </w:divBdr>
    </w:div>
    <w:div w:id="777333888">
      <w:bodyDiv w:val="1"/>
      <w:marLeft w:val="0"/>
      <w:marRight w:val="0"/>
      <w:marTop w:val="0"/>
      <w:marBottom w:val="0"/>
      <w:divBdr>
        <w:top w:val="none" w:sz="0" w:space="0" w:color="auto"/>
        <w:left w:val="none" w:sz="0" w:space="0" w:color="auto"/>
        <w:bottom w:val="none" w:sz="0" w:space="0" w:color="auto"/>
        <w:right w:val="none" w:sz="0" w:space="0" w:color="auto"/>
      </w:divBdr>
    </w:div>
    <w:div w:id="1178694503">
      <w:bodyDiv w:val="1"/>
      <w:marLeft w:val="0"/>
      <w:marRight w:val="0"/>
      <w:marTop w:val="0"/>
      <w:marBottom w:val="0"/>
      <w:divBdr>
        <w:top w:val="none" w:sz="0" w:space="0" w:color="auto"/>
        <w:left w:val="none" w:sz="0" w:space="0" w:color="auto"/>
        <w:bottom w:val="none" w:sz="0" w:space="0" w:color="auto"/>
        <w:right w:val="none" w:sz="0" w:space="0" w:color="auto"/>
      </w:divBdr>
    </w:div>
    <w:div w:id="148327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305</TotalTime>
  <Pages>6</Pages>
  <Words>1040</Words>
  <Characters>5622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6649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Joaquim</dc:creator>
  <cp:lastModifiedBy>Admiltonmd</cp:lastModifiedBy>
  <cp:revision>22</cp:revision>
  <cp:lastPrinted>2022-08-16T18:56:00Z</cp:lastPrinted>
  <dcterms:created xsi:type="dcterms:W3CDTF">2021-03-15T20:06:00Z</dcterms:created>
  <dcterms:modified xsi:type="dcterms:W3CDTF">2023-03-13T20:11:00Z</dcterms:modified>
</cp:coreProperties>
</file>